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370C0" w14:textId="77777777" w:rsidR="00512D3B" w:rsidRPr="00ED68E6" w:rsidRDefault="00512D3B" w:rsidP="008C2743">
      <w:pPr>
        <w:jc w:val="both"/>
        <w:rPr>
          <w:sz w:val="20"/>
          <w:szCs w:val="20"/>
          <w:rtl/>
          <w:lang w:val="id-ID" w:bidi="ar-JO"/>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164C31" w:rsidRPr="00ED68E6" w14:paraId="35B7F757" w14:textId="77777777" w:rsidTr="00607FC8">
        <w:trPr>
          <w:trHeight w:val="1892"/>
        </w:trPr>
        <w:tc>
          <w:tcPr>
            <w:tcW w:w="9639" w:type="dxa"/>
          </w:tcPr>
          <w:p w14:paraId="115FCD28" w14:textId="2E306241" w:rsidR="00CC1DF9" w:rsidRPr="00ED68E6" w:rsidRDefault="00A35CB3" w:rsidP="00F12A23">
            <w:pPr>
              <w:jc w:val="center"/>
              <w:rPr>
                <w:rFonts w:ascii="Century Gothic" w:hAnsi="Century Gothic" w:cs="Times"/>
                <w:b/>
                <w:szCs w:val="22"/>
                <w:lang w:val="id-ID"/>
              </w:rPr>
            </w:pPr>
            <w:r w:rsidRPr="00ED68E6">
              <w:rPr>
                <w:rFonts w:ascii="Century Gothic" w:hAnsi="Century Gothic" w:cs="Times"/>
                <w:b/>
                <w:szCs w:val="22"/>
                <w:lang w:val="id-ID"/>
              </w:rPr>
              <w:t xml:space="preserve">EVALUASI </w:t>
            </w:r>
            <w:r w:rsidR="00CC1DF9" w:rsidRPr="00ED68E6">
              <w:rPr>
                <w:rFonts w:ascii="Century Gothic" w:hAnsi="Century Gothic" w:cs="Times"/>
                <w:b/>
                <w:szCs w:val="22"/>
                <w:lang w:val="id-ID"/>
              </w:rPr>
              <w:t xml:space="preserve">KEPENTINGAN DAN KEPUASAN MASYARAKAT TERHADAP </w:t>
            </w:r>
          </w:p>
          <w:p w14:paraId="6A45BDDF" w14:textId="2F094318" w:rsidR="00F12A23" w:rsidRPr="00ED68E6" w:rsidRDefault="004C1537" w:rsidP="00F12A23">
            <w:pPr>
              <w:jc w:val="center"/>
              <w:rPr>
                <w:rFonts w:ascii="Century Gothic" w:hAnsi="Century Gothic" w:cs="Times"/>
                <w:b/>
                <w:szCs w:val="22"/>
                <w:lang w:val="id-ID"/>
              </w:rPr>
            </w:pPr>
            <w:r w:rsidRPr="00ED68E6">
              <w:rPr>
                <w:rFonts w:ascii="Century Gothic" w:hAnsi="Century Gothic" w:cs="Times"/>
                <w:b/>
                <w:szCs w:val="22"/>
                <w:lang w:val="id-ID"/>
              </w:rPr>
              <w:t xml:space="preserve">LAYANAN </w:t>
            </w:r>
            <w:r w:rsidR="00A1036A" w:rsidRPr="00ED68E6">
              <w:rPr>
                <w:rFonts w:ascii="Century Gothic" w:hAnsi="Century Gothic" w:cs="Times"/>
                <w:b/>
                <w:szCs w:val="22"/>
                <w:lang w:val="id-ID"/>
              </w:rPr>
              <w:t xml:space="preserve">FREE TRADE AGREEMENT CENTER </w:t>
            </w:r>
          </w:p>
          <w:p w14:paraId="3C08E50B" w14:textId="272534C4" w:rsidR="00340AD4" w:rsidRDefault="00A1036A" w:rsidP="008C2743">
            <w:pPr>
              <w:jc w:val="center"/>
              <w:rPr>
                <w:rFonts w:ascii="Century Gothic" w:hAnsi="Century Gothic" w:cs="Times"/>
                <w:b/>
                <w:szCs w:val="22"/>
                <w:lang w:val="id-ID"/>
              </w:rPr>
            </w:pPr>
            <w:r w:rsidRPr="00ED68E6">
              <w:rPr>
                <w:rFonts w:ascii="Century Gothic" w:hAnsi="Century Gothic" w:cs="Times"/>
                <w:b/>
                <w:szCs w:val="22"/>
                <w:lang w:val="id-ID"/>
              </w:rPr>
              <w:t>DI INDONESIA</w:t>
            </w:r>
          </w:p>
          <w:p w14:paraId="5966055D" w14:textId="77777777" w:rsidR="009E64CC" w:rsidRDefault="009E64CC" w:rsidP="008C2743">
            <w:pPr>
              <w:jc w:val="center"/>
              <w:rPr>
                <w:rFonts w:ascii="Century Gothic" w:hAnsi="Century Gothic" w:cs="Times"/>
                <w:b/>
                <w:szCs w:val="22"/>
                <w:lang w:val="id-ID"/>
              </w:rPr>
            </w:pPr>
          </w:p>
          <w:p w14:paraId="563C007B" w14:textId="77777777" w:rsidR="009E64CC" w:rsidRDefault="009E64CC" w:rsidP="009E64CC">
            <w:pPr>
              <w:jc w:val="center"/>
              <w:rPr>
                <w:rFonts w:ascii="Century Gothic" w:hAnsi="Century Gothic"/>
                <w:sz w:val="22"/>
                <w:szCs w:val="28"/>
              </w:rPr>
            </w:pPr>
            <w:r>
              <w:rPr>
                <w:rFonts w:ascii="Century Gothic" w:hAnsi="Century Gothic"/>
                <w:sz w:val="22"/>
                <w:szCs w:val="28"/>
              </w:rPr>
              <w:t xml:space="preserve">Diana </w:t>
            </w:r>
            <w:proofErr w:type="spellStart"/>
            <w:r>
              <w:rPr>
                <w:rFonts w:ascii="Century Gothic" w:hAnsi="Century Gothic"/>
                <w:sz w:val="22"/>
                <w:szCs w:val="28"/>
              </w:rPr>
              <w:t>Darmawan</w:t>
            </w:r>
            <w:proofErr w:type="spellEnd"/>
          </w:p>
          <w:p w14:paraId="0B09FBB7" w14:textId="527F8EFA" w:rsidR="004E0CBE" w:rsidRDefault="000E4B6D" w:rsidP="0094500A">
            <w:pPr>
              <w:jc w:val="center"/>
              <w:rPr>
                <w:rFonts w:ascii="Century Gothic" w:hAnsi="Century Gothic"/>
                <w:sz w:val="20"/>
              </w:rPr>
            </w:pPr>
            <w:r>
              <w:rPr>
                <w:rFonts w:ascii="Century Gothic" w:hAnsi="Century Gothic"/>
                <w:sz w:val="20"/>
              </w:rPr>
              <w:t xml:space="preserve">Sekretariat </w:t>
            </w:r>
            <w:proofErr w:type="spellStart"/>
            <w:r>
              <w:rPr>
                <w:rFonts w:ascii="Century Gothic" w:hAnsi="Century Gothic"/>
                <w:sz w:val="20"/>
              </w:rPr>
              <w:t>Direktorat</w:t>
            </w:r>
            <w:proofErr w:type="spellEnd"/>
            <w:r>
              <w:rPr>
                <w:rFonts w:ascii="Century Gothic" w:hAnsi="Century Gothic"/>
                <w:sz w:val="20"/>
              </w:rPr>
              <w:t xml:space="preserve"> </w:t>
            </w:r>
            <w:proofErr w:type="spellStart"/>
            <w:r>
              <w:rPr>
                <w:rFonts w:ascii="Century Gothic" w:hAnsi="Century Gothic"/>
                <w:sz w:val="20"/>
              </w:rPr>
              <w:t>Jenderal</w:t>
            </w:r>
            <w:proofErr w:type="spellEnd"/>
            <w:r>
              <w:rPr>
                <w:rFonts w:ascii="Century Gothic" w:hAnsi="Century Gothic"/>
                <w:sz w:val="20"/>
              </w:rPr>
              <w:t xml:space="preserve"> </w:t>
            </w:r>
            <w:proofErr w:type="spellStart"/>
            <w:r>
              <w:rPr>
                <w:rFonts w:ascii="Century Gothic" w:hAnsi="Century Gothic"/>
                <w:sz w:val="20"/>
              </w:rPr>
              <w:t>Per</w:t>
            </w:r>
            <w:r w:rsidR="007A1927">
              <w:rPr>
                <w:rFonts w:ascii="Century Gothic" w:hAnsi="Century Gothic"/>
                <w:sz w:val="20"/>
              </w:rPr>
              <w:t>undingan</w:t>
            </w:r>
            <w:proofErr w:type="spellEnd"/>
            <w:r>
              <w:rPr>
                <w:rFonts w:ascii="Century Gothic" w:hAnsi="Century Gothic"/>
                <w:sz w:val="20"/>
              </w:rPr>
              <w:t xml:space="preserve"> Perdagangan </w:t>
            </w:r>
            <w:proofErr w:type="spellStart"/>
            <w:r>
              <w:rPr>
                <w:rFonts w:ascii="Century Gothic" w:hAnsi="Century Gothic"/>
                <w:sz w:val="20"/>
              </w:rPr>
              <w:t>Internasional</w:t>
            </w:r>
            <w:proofErr w:type="spellEnd"/>
            <w:r w:rsidR="004E0CBE">
              <w:rPr>
                <w:rFonts w:ascii="Century Gothic" w:hAnsi="Century Gothic"/>
                <w:sz w:val="20"/>
              </w:rPr>
              <w:t xml:space="preserve"> </w:t>
            </w:r>
          </w:p>
          <w:p w14:paraId="2930AEB4" w14:textId="4833ECA3" w:rsidR="0094500A" w:rsidRPr="009E64CC" w:rsidRDefault="004E0CBE" w:rsidP="0094500A">
            <w:pPr>
              <w:jc w:val="center"/>
              <w:rPr>
                <w:rFonts w:ascii="Century Gothic" w:hAnsi="Century Gothic"/>
                <w:sz w:val="20"/>
              </w:rPr>
            </w:pPr>
            <w:r>
              <w:rPr>
                <w:rFonts w:ascii="Century Gothic" w:hAnsi="Century Gothic"/>
                <w:sz w:val="20"/>
              </w:rPr>
              <w:t>Kementerian Perdagangan</w:t>
            </w:r>
          </w:p>
          <w:p w14:paraId="3CA82864" w14:textId="2E14D10A" w:rsidR="009E64CC" w:rsidRPr="0094500A" w:rsidRDefault="009E64CC" w:rsidP="009E64CC">
            <w:pPr>
              <w:jc w:val="center"/>
              <w:rPr>
                <w:rFonts w:ascii="Century Gothic" w:hAnsi="Century Gothic"/>
                <w:sz w:val="18"/>
                <w:szCs w:val="22"/>
              </w:rPr>
            </w:pPr>
            <w:r w:rsidRPr="0094500A">
              <w:rPr>
                <w:rFonts w:ascii="Century Gothic" w:hAnsi="Century Gothic"/>
                <w:sz w:val="18"/>
                <w:szCs w:val="22"/>
              </w:rPr>
              <w:t>Email: diana.darmawan@kemendag.go.id</w:t>
            </w:r>
          </w:p>
          <w:p w14:paraId="2085526E" w14:textId="545AD777" w:rsidR="009E64CC" w:rsidRPr="00ED68E6" w:rsidRDefault="009E64CC" w:rsidP="009E64CC">
            <w:pPr>
              <w:rPr>
                <w:rFonts w:ascii="Century Gothic" w:hAnsi="Century Gothic"/>
                <w:sz w:val="22"/>
                <w:szCs w:val="28"/>
                <w:lang w:val="id-ID"/>
              </w:rPr>
            </w:pPr>
          </w:p>
        </w:tc>
      </w:tr>
      <w:tr w:rsidR="00164C31" w:rsidRPr="00ED68E6" w14:paraId="7BFA102A" w14:textId="77777777" w:rsidTr="00607FC8">
        <w:tc>
          <w:tcPr>
            <w:tcW w:w="9639" w:type="dxa"/>
          </w:tcPr>
          <w:p w14:paraId="0B6BD9E3" w14:textId="1C060961" w:rsidR="00164C31" w:rsidRPr="00ED68E6" w:rsidRDefault="00164C31" w:rsidP="00F12A23">
            <w:pPr>
              <w:jc w:val="center"/>
              <w:rPr>
                <w:rFonts w:ascii="Century Gothic" w:hAnsi="Century Gothic" w:cs="Times"/>
                <w:b/>
                <w:szCs w:val="22"/>
                <w:lang w:val="id-ID"/>
              </w:rPr>
            </w:pPr>
            <w:r w:rsidRPr="00ED68E6">
              <w:rPr>
                <w:rFonts w:ascii="Century Gothic" w:hAnsi="Century Gothic" w:cs="Times"/>
                <w:b/>
                <w:szCs w:val="22"/>
                <w:lang w:val="id-ID"/>
              </w:rPr>
              <w:t>Abstrak</w:t>
            </w:r>
          </w:p>
          <w:p w14:paraId="43929449" w14:textId="77777777" w:rsidR="00164C31" w:rsidRPr="00ED68E6" w:rsidRDefault="00164C31" w:rsidP="00CE75E4">
            <w:pPr>
              <w:jc w:val="both"/>
              <w:rPr>
                <w:rFonts w:ascii="Century Gothic" w:hAnsi="Century Gothic" w:cs="Times"/>
                <w:sz w:val="16"/>
                <w:szCs w:val="16"/>
                <w:lang w:val="id-ID"/>
              </w:rPr>
            </w:pPr>
          </w:p>
          <w:p w14:paraId="29B6AC62" w14:textId="7BF74705" w:rsidR="00164C31" w:rsidRPr="00ED68E6" w:rsidRDefault="00FF4AC2" w:rsidP="007579C1">
            <w:pPr>
              <w:jc w:val="both"/>
              <w:rPr>
                <w:rFonts w:ascii="Century Gothic" w:hAnsi="Century Gothic" w:cs="Times"/>
                <w:sz w:val="20"/>
                <w:szCs w:val="20"/>
                <w:lang w:val="id-ID"/>
              </w:rPr>
            </w:pPr>
            <w:r w:rsidRPr="00ED68E6">
              <w:rPr>
                <w:rFonts w:ascii="Century Gothic" w:hAnsi="Century Gothic" w:cs="Times"/>
                <w:sz w:val="20"/>
                <w:szCs w:val="20"/>
                <w:lang w:val="id-ID"/>
              </w:rPr>
              <w:t xml:space="preserve">Indonesia telah memiliki beberapa perjanjian </w:t>
            </w:r>
            <w:r w:rsidR="00D57F69" w:rsidRPr="00ED68E6">
              <w:rPr>
                <w:rFonts w:ascii="Century Gothic" w:hAnsi="Century Gothic" w:cs="Times"/>
                <w:sz w:val="20"/>
                <w:szCs w:val="20"/>
                <w:lang w:val="id-ID"/>
              </w:rPr>
              <w:t>perdagangan dengan negara mitra,</w:t>
            </w:r>
            <w:r w:rsidR="00B23872" w:rsidRPr="00ED68E6">
              <w:rPr>
                <w:rFonts w:ascii="Century Gothic" w:hAnsi="Century Gothic" w:cs="Times"/>
                <w:sz w:val="20"/>
                <w:szCs w:val="20"/>
                <w:lang w:val="id-ID"/>
              </w:rPr>
              <w:t xml:space="preserve"> namun pemanfaatannya masih belum optimal. Salah satu penyebabnya adalah </w:t>
            </w:r>
            <w:r w:rsidR="00B23872" w:rsidRPr="00ED68E6">
              <w:rPr>
                <w:rFonts w:ascii="Century Gothic" w:hAnsi="Century Gothic" w:cs="Times"/>
                <w:i/>
                <w:sz w:val="20"/>
                <w:szCs w:val="20"/>
                <w:lang w:val="id-ID"/>
              </w:rPr>
              <w:t>asymmetric information</w:t>
            </w:r>
            <w:r w:rsidR="00B23872" w:rsidRPr="00ED68E6">
              <w:rPr>
                <w:rFonts w:ascii="Century Gothic" w:hAnsi="Century Gothic" w:cs="Times"/>
                <w:sz w:val="20"/>
                <w:szCs w:val="20"/>
                <w:lang w:val="id-ID"/>
              </w:rPr>
              <w:t xml:space="preserve"> antara pemerintah dan pelaku usaha, di mana informasi yang diperoleh para pelaku usaha tidak diterima secara sempurna. Untuk itu, Kementerian Perdagangan mendirikan F</w:t>
            </w:r>
            <w:r w:rsidR="00D57F69" w:rsidRPr="00ED68E6">
              <w:rPr>
                <w:rFonts w:ascii="Century Gothic" w:hAnsi="Century Gothic" w:cs="Times"/>
                <w:sz w:val="20"/>
                <w:szCs w:val="20"/>
                <w:lang w:val="id-ID"/>
              </w:rPr>
              <w:t xml:space="preserve">ree Trade Agreement (FTA) </w:t>
            </w:r>
            <w:r w:rsidR="00B23872" w:rsidRPr="00ED68E6">
              <w:rPr>
                <w:rFonts w:ascii="Century Gothic" w:hAnsi="Century Gothic" w:cs="Times"/>
                <w:sz w:val="20"/>
                <w:szCs w:val="20"/>
                <w:lang w:val="id-ID"/>
              </w:rPr>
              <w:t xml:space="preserve">Center untuk membantu pemerintah dalam mengatasi </w:t>
            </w:r>
            <w:r w:rsidR="00B23872" w:rsidRPr="00ED68E6">
              <w:rPr>
                <w:rFonts w:ascii="Century Gothic" w:hAnsi="Century Gothic" w:cs="Times"/>
                <w:i/>
                <w:sz w:val="20"/>
                <w:szCs w:val="20"/>
                <w:lang w:val="id-ID"/>
              </w:rPr>
              <w:t>asymmetric information</w:t>
            </w:r>
            <w:r w:rsidR="00B23872" w:rsidRPr="00ED68E6">
              <w:rPr>
                <w:rFonts w:ascii="Century Gothic" w:hAnsi="Century Gothic" w:cs="Times"/>
                <w:sz w:val="20"/>
                <w:szCs w:val="20"/>
                <w:lang w:val="id-ID"/>
              </w:rPr>
              <w:t xml:space="preserve"> dan mengoptimalkan pemanfaatan perjanjian perdagangan dengan negara mitra.</w:t>
            </w:r>
            <w:r w:rsidR="00970C3A" w:rsidRPr="00ED68E6">
              <w:rPr>
                <w:rFonts w:ascii="Century Gothic" w:hAnsi="Century Gothic" w:cs="Times"/>
                <w:sz w:val="20"/>
                <w:szCs w:val="20"/>
                <w:lang w:val="id-ID"/>
              </w:rPr>
              <w:t xml:space="preserve"> </w:t>
            </w:r>
            <w:r w:rsidR="001A4206" w:rsidRPr="00ED68E6">
              <w:rPr>
                <w:rFonts w:ascii="Century Gothic" w:hAnsi="Century Gothic" w:cs="Times"/>
                <w:sz w:val="20"/>
                <w:szCs w:val="20"/>
                <w:lang w:val="id-ID"/>
              </w:rPr>
              <w:t xml:space="preserve">Kajian ini mengukur </w:t>
            </w:r>
            <w:r w:rsidR="006A18DF" w:rsidRPr="00ED68E6">
              <w:rPr>
                <w:rFonts w:ascii="Century Gothic" w:hAnsi="Century Gothic" w:cs="Times"/>
                <w:sz w:val="20"/>
                <w:szCs w:val="20"/>
                <w:lang w:val="id-ID"/>
              </w:rPr>
              <w:t>kesesuaian pelaksanaan tugas dan target FTA Center</w:t>
            </w:r>
            <w:r w:rsidR="00D11DF6" w:rsidRPr="00ED68E6">
              <w:rPr>
                <w:rFonts w:ascii="Century Gothic" w:hAnsi="Century Gothic" w:cs="Times"/>
                <w:sz w:val="20"/>
                <w:szCs w:val="20"/>
                <w:lang w:val="id-ID"/>
              </w:rPr>
              <w:t xml:space="preserve"> di lima daerah melalui </w:t>
            </w:r>
            <w:r w:rsidR="006A18DF" w:rsidRPr="00ED68E6">
              <w:rPr>
                <w:rFonts w:ascii="Century Gothic" w:hAnsi="Century Gothic" w:cs="Times"/>
                <w:sz w:val="20"/>
                <w:szCs w:val="20"/>
                <w:lang w:val="id-ID"/>
              </w:rPr>
              <w:t>evaluasi kepentingan dan kepuasan masyarakat terhadap layanan</w:t>
            </w:r>
            <w:r w:rsidR="00093468" w:rsidRPr="00ED68E6">
              <w:rPr>
                <w:rFonts w:ascii="Century Gothic" w:hAnsi="Century Gothic" w:cs="Times"/>
                <w:sz w:val="20"/>
                <w:szCs w:val="20"/>
                <w:lang w:val="id-ID"/>
              </w:rPr>
              <w:t xml:space="preserve"> FTA Center dengan penyebaran  kuisioner  dan  wawancara  sebagai  teknik  pengambilan  data. </w:t>
            </w:r>
            <w:r w:rsidR="00D11DF6" w:rsidRPr="00ED68E6">
              <w:rPr>
                <w:rFonts w:ascii="Century Gothic" w:hAnsi="Century Gothic" w:cs="Times"/>
                <w:sz w:val="20"/>
                <w:szCs w:val="20"/>
                <w:lang w:val="id-ID"/>
              </w:rPr>
              <w:t>Berdasarkan data r</w:t>
            </w:r>
            <w:r w:rsidR="007C3B63" w:rsidRPr="00ED68E6">
              <w:rPr>
                <w:rFonts w:ascii="Century Gothic" w:hAnsi="Century Gothic" w:cs="Times"/>
                <w:sz w:val="20"/>
                <w:szCs w:val="20"/>
                <w:lang w:val="id-ID"/>
              </w:rPr>
              <w:t xml:space="preserve">esponden, diperoleh hasil bahwa secara agregat </w:t>
            </w:r>
            <w:r w:rsidR="006B2284">
              <w:rPr>
                <w:rFonts w:ascii="Century Gothic" w:hAnsi="Century Gothic" w:cs="Times"/>
                <w:sz w:val="20"/>
                <w:szCs w:val="20"/>
              </w:rPr>
              <w:t xml:space="preserve">bahwa </w:t>
            </w:r>
            <w:r w:rsidR="007C3B63" w:rsidRPr="00ED68E6">
              <w:rPr>
                <w:rFonts w:ascii="Century Gothic" w:hAnsi="Century Gothic" w:cs="Times"/>
                <w:sz w:val="20"/>
                <w:szCs w:val="20"/>
                <w:lang w:val="id-ID"/>
              </w:rPr>
              <w:t>berbagai aspek kepuasan dan kepentingan sudah berada pada indeks kepuasan dan kepentingan yang tinggi</w:t>
            </w:r>
            <w:r w:rsidR="007579C1" w:rsidRPr="00ED68E6">
              <w:rPr>
                <w:rFonts w:ascii="Century Gothic" w:hAnsi="Century Gothic" w:cs="Times"/>
                <w:sz w:val="20"/>
                <w:szCs w:val="20"/>
                <w:lang w:val="id-ID"/>
              </w:rPr>
              <w:t>, yaitu keterbukaan/kemudahan a</w:t>
            </w:r>
            <w:r w:rsidR="009C6B3E" w:rsidRPr="00ED68E6">
              <w:rPr>
                <w:rFonts w:ascii="Century Gothic" w:hAnsi="Century Gothic" w:cs="Times"/>
                <w:sz w:val="20"/>
                <w:szCs w:val="20"/>
                <w:lang w:val="id-ID"/>
              </w:rPr>
              <w:t>kses l</w:t>
            </w:r>
            <w:r w:rsidR="007579C1" w:rsidRPr="00ED68E6">
              <w:rPr>
                <w:rFonts w:ascii="Century Gothic" w:hAnsi="Century Gothic" w:cs="Times"/>
                <w:sz w:val="20"/>
                <w:szCs w:val="20"/>
                <w:lang w:val="id-ID"/>
              </w:rPr>
              <w:t>ayanan terhadap Informasi, sikap tenaga ahli, kemampuan dan keterampilan tenaga ahli,  a</w:t>
            </w:r>
            <w:r w:rsidR="009C6B3E" w:rsidRPr="00ED68E6">
              <w:rPr>
                <w:rFonts w:ascii="Century Gothic" w:hAnsi="Century Gothic" w:cs="Times"/>
                <w:sz w:val="20"/>
                <w:szCs w:val="20"/>
                <w:lang w:val="id-ID"/>
              </w:rPr>
              <w:t>kses terhadap layanan, keefektif</w:t>
            </w:r>
            <w:r w:rsidR="007579C1" w:rsidRPr="00ED68E6">
              <w:rPr>
                <w:rFonts w:ascii="Century Gothic" w:hAnsi="Century Gothic" w:cs="Times"/>
                <w:sz w:val="20"/>
                <w:szCs w:val="20"/>
                <w:lang w:val="id-ID"/>
              </w:rPr>
              <w:t>an dan efisiensi layanan</w:t>
            </w:r>
            <w:r w:rsidR="009C6B3E" w:rsidRPr="00ED68E6">
              <w:rPr>
                <w:rFonts w:ascii="Century Gothic" w:hAnsi="Century Gothic" w:cs="Times"/>
                <w:sz w:val="20"/>
                <w:szCs w:val="20"/>
                <w:lang w:val="id-ID"/>
              </w:rPr>
              <w:t xml:space="preserve">, serta penanganan keluhan. </w:t>
            </w:r>
            <w:r w:rsidR="007579C1" w:rsidRPr="00ED68E6">
              <w:rPr>
                <w:rFonts w:ascii="Century Gothic" w:hAnsi="Century Gothic" w:cs="Times"/>
                <w:sz w:val="20"/>
                <w:szCs w:val="20"/>
                <w:lang w:val="id-ID"/>
              </w:rPr>
              <w:t xml:space="preserve">Namun, FTA Center dapat meningkatkan kualitas pada aspek informasi layanan, lingkungan pendukung , dan waktu penyelesaian layanan.  </w:t>
            </w:r>
          </w:p>
          <w:p w14:paraId="3CC1AB43" w14:textId="77777777" w:rsidR="00FF4AC2" w:rsidRPr="00ED68E6" w:rsidRDefault="00FF4AC2" w:rsidP="00CE75E4">
            <w:pPr>
              <w:jc w:val="both"/>
              <w:rPr>
                <w:rFonts w:ascii="Century Gothic" w:hAnsi="Century Gothic" w:cs="Times"/>
                <w:sz w:val="20"/>
                <w:szCs w:val="20"/>
                <w:lang w:val="id-ID"/>
              </w:rPr>
            </w:pPr>
          </w:p>
          <w:p w14:paraId="5FFFF82D" w14:textId="0583E901" w:rsidR="00164C31" w:rsidRPr="00ED68E6" w:rsidRDefault="00983EA0" w:rsidP="00CE75E4">
            <w:pPr>
              <w:jc w:val="both"/>
              <w:rPr>
                <w:rFonts w:ascii="Century Gothic" w:hAnsi="Century Gothic" w:cs="Times"/>
                <w:sz w:val="18"/>
                <w:szCs w:val="18"/>
                <w:lang w:val="id-ID"/>
              </w:rPr>
            </w:pPr>
            <w:r>
              <w:rPr>
                <w:rFonts w:ascii="Century Gothic" w:hAnsi="Century Gothic" w:cs="Times"/>
                <w:iCs/>
                <w:sz w:val="20"/>
                <w:szCs w:val="20"/>
              </w:rPr>
              <w:t xml:space="preserve">Kata </w:t>
            </w:r>
            <w:proofErr w:type="spellStart"/>
            <w:r>
              <w:rPr>
                <w:rFonts w:ascii="Century Gothic" w:hAnsi="Century Gothic" w:cs="Times"/>
                <w:iCs/>
                <w:sz w:val="20"/>
                <w:szCs w:val="20"/>
              </w:rPr>
              <w:t>Kunci</w:t>
            </w:r>
            <w:proofErr w:type="spellEnd"/>
            <w:r w:rsidR="00B23872" w:rsidRPr="00ED68E6">
              <w:rPr>
                <w:rFonts w:ascii="Century Gothic" w:hAnsi="Century Gothic" w:cs="Times"/>
                <w:sz w:val="20"/>
                <w:szCs w:val="20"/>
                <w:lang w:val="id-ID"/>
              </w:rPr>
              <w:t xml:space="preserve">: </w:t>
            </w:r>
            <w:proofErr w:type="spellStart"/>
            <w:r w:rsidR="00B23872" w:rsidRPr="00983EA0">
              <w:rPr>
                <w:rFonts w:ascii="Century Gothic" w:hAnsi="Century Gothic" w:cs="Times"/>
                <w:i/>
                <w:iCs/>
                <w:sz w:val="20"/>
                <w:szCs w:val="20"/>
                <w:lang w:val="id-ID"/>
              </w:rPr>
              <w:t>Free</w:t>
            </w:r>
            <w:proofErr w:type="spellEnd"/>
            <w:r w:rsidR="00B23872" w:rsidRPr="00983EA0">
              <w:rPr>
                <w:rFonts w:ascii="Century Gothic" w:hAnsi="Century Gothic" w:cs="Times"/>
                <w:i/>
                <w:iCs/>
                <w:sz w:val="20"/>
                <w:szCs w:val="20"/>
                <w:lang w:val="id-ID"/>
              </w:rPr>
              <w:t xml:space="preserve"> Trade </w:t>
            </w:r>
            <w:proofErr w:type="spellStart"/>
            <w:r w:rsidR="00B23872" w:rsidRPr="00983EA0">
              <w:rPr>
                <w:rFonts w:ascii="Century Gothic" w:hAnsi="Century Gothic" w:cs="Times"/>
                <w:i/>
                <w:iCs/>
                <w:sz w:val="20"/>
                <w:szCs w:val="20"/>
                <w:lang w:val="id-ID"/>
              </w:rPr>
              <w:t>Agreement</w:t>
            </w:r>
            <w:proofErr w:type="spellEnd"/>
            <w:r w:rsidR="00B23872" w:rsidRPr="00ED68E6">
              <w:rPr>
                <w:rFonts w:ascii="Century Gothic" w:hAnsi="Century Gothic" w:cs="Times"/>
                <w:sz w:val="20"/>
                <w:szCs w:val="20"/>
                <w:lang w:val="id-ID"/>
              </w:rPr>
              <w:t>, Kepuasan Layanan, Ekspor, Informasi</w:t>
            </w:r>
          </w:p>
          <w:p w14:paraId="79E0C89C" w14:textId="77777777" w:rsidR="00164C31" w:rsidRPr="00ED68E6" w:rsidRDefault="00164C31" w:rsidP="00CE75E4">
            <w:pPr>
              <w:jc w:val="both"/>
              <w:rPr>
                <w:rFonts w:ascii="Century Gothic" w:hAnsi="Century Gothic" w:cs="Times"/>
                <w:sz w:val="16"/>
                <w:szCs w:val="16"/>
                <w:lang w:val="id-ID"/>
              </w:rPr>
            </w:pPr>
          </w:p>
          <w:p w14:paraId="3F7D08F3" w14:textId="7FF9C885" w:rsidR="00164C31" w:rsidRPr="00ED68E6" w:rsidRDefault="00164C31" w:rsidP="00F12A23">
            <w:pPr>
              <w:jc w:val="center"/>
              <w:rPr>
                <w:rFonts w:ascii="Century Gothic" w:hAnsi="Century Gothic" w:cs="Times"/>
                <w:b/>
                <w:szCs w:val="22"/>
                <w:lang w:val="id-ID"/>
              </w:rPr>
            </w:pPr>
            <w:r w:rsidRPr="00ED68E6">
              <w:rPr>
                <w:rFonts w:ascii="Century Gothic" w:hAnsi="Century Gothic" w:cs="Times"/>
                <w:b/>
                <w:szCs w:val="22"/>
                <w:lang w:val="id-ID"/>
              </w:rPr>
              <w:t>Abstra</w:t>
            </w:r>
            <w:r w:rsidR="00F12A23" w:rsidRPr="00ED68E6">
              <w:rPr>
                <w:rFonts w:ascii="Century Gothic" w:hAnsi="Century Gothic" w:cs="Times"/>
                <w:b/>
                <w:szCs w:val="22"/>
                <w:lang w:val="id-ID"/>
              </w:rPr>
              <w:t xml:space="preserve">ct </w:t>
            </w:r>
          </w:p>
          <w:p w14:paraId="3ACD2AEB" w14:textId="77777777" w:rsidR="00164C31" w:rsidRPr="00ED68E6" w:rsidRDefault="00164C31" w:rsidP="00CE75E4">
            <w:pPr>
              <w:jc w:val="both"/>
              <w:rPr>
                <w:rFonts w:ascii="Century Gothic" w:hAnsi="Century Gothic" w:cs="Times"/>
                <w:sz w:val="16"/>
                <w:szCs w:val="16"/>
                <w:lang w:val="id-ID"/>
              </w:rPr>
            </w:pPr>
          </w:p>
          <w:p w14:paraId="1679B82E" w14:textId="70A64F40" w:rsidR="00164C31" w:rsidRPr="00ED68E6" w:rsidRDefault="00E35BA5" w:rsidP="00CE75E4">
            <w:pPr>
              <w:jc w:val="both"/>
              <w:rPr>
                <w:rFonts w:ascii="Century Gothic" w:hAnsi="Century Gothic" w:cs="Times"/>
                <w:sz w:val="20"/>
                <w:szCs w:val="20"/>
                <w:lang w:val="id-ID"/>
              </w:rPr>
            </w:pPr>
            <w:r>
              <w:rPr>
                <w:rFonts w:ascii="Century Gothic" w:hAnsi="Century Gothic" w:cs="Times"/>
                <w:sz w:val="20"/>
                <w:szCs w:val="20"/>
              </w:rPr>
              <w:t>I</w:t>
            </w:r>
            <w:r w:rsidRPr="00E35BA5">
              <w:rPr>
                <w:rFonts w:ascii="Century Gothic" w:hAnsi="Century Gothic" w:cs="Times"/>
                <w:sz w:val="20"/>
                <w:szCs w:val="20"/>
                <w:lang w:val="id-ID"/>
              </w:rPr>
              <w:t xml:space="preserve">ndonesia already has several trade agreements with </w:t>
            </w:r>
            <w:r>
              <w:rPr>
                <w:rFonts w:ascii="Century Gothic" w:hAnsi="Century Gothic" w:cs="Times"/>
                <w:sz w:val="20"/>
                <w:szCs w:val="20"/>
              </w:rPr>
              <w:t xml:space="preserve">its </w:t>
            </w:r>
            <w:r w:rsidRPr="00E35BA5">
              <w:rPr>
                <w:rFonts w:ascii="Century Gothic" w:hAnsi="Century Gothic" w:cs="Times"/>
                <w:sz w:val="20"/>
                <w:szCs w:val="20"/>
                <w:lang w:val="id-ID"/>
              </w:rPr>
              <w:t>partner countries, but their utilization is still not optimal. One of the causes is asymmetric information between th</w:t>
            </w:r>
            <w:r>
              <w:rPr>
                <w:rFonts w:ascii="Century Gothic" w:hAnsi="Century Gothic" w:cs="Times"/>
                <w:sz w:val="20"/>
                <w:szCs w:val="20"/>
                <w:lang w:val="id-ID"/>
              </w:rPr>
              <w:t>e government and private sector firms</w:t>
            </w:r>
            <w:r w:rsidRPr="00E35BA5">
              <w:rPr>
                <w:rFonts w:ascii="Century Gothic" w:hAnsi="Century Gothic" w:cs="Times"/>
                <w:sz w:val="20"/>
                <w:szCs w:val="20"/>
                <w:lang w:val="id-ID"/>
              </w:rPr>
              <w:t xml:space="preserve">, where the information obtained by </w:t>
            </w:r>
            <w:r>
              <w:rPr>
                <w:rFonts w:ascii="Century Gothic" w:hAnsi="Century Gothic" w:cs="Times"/>
                <w:sz w:val="20"/>
                <w:szCs w:val="20"/>
              </w:rPr>
              <w:t xml:space="preserve">these firms </w:t>
            </w:r>
            <w:r w:rsidRPr="00E35BA5">
              <w:rPr>
                <w:rFonts w:ascii="Century Gothic" w:hAnsi="Century Gothic" w:cs="Times"/>
                <w:sz w:val="20"/>
                <w:szCs w:val="20"/>
                <w:lang w:val="id-ID"/>
              </w:rPr>
              <w:t>is not received perfectly. To that end, the Ministry of Trade established a Free Trade Agreement (FTA) Center to assist the government in overcoming asymmetric information and optimiz</w:t>
            </w:r>
            <w:r>
              <w:rPr>
                <w:rFonts w:ascii="Century Gothic" w:hAnsi="Century Gothic" w:cs="Times"/>
                <w:sz w:val="20"/>
                <w:szCs w:val="20"/>
                <w:lang w:val="id-ID"/>
              </w:rPr>
              <w:t xml:space="preserve">ing the use of trade agreements. </w:t>
            </w:r>
            <w:r w:rsidRPr="00E35BA5">
              <w:rPr>
                <w:rFonts w:ascii="Century Gothic" w:hAnsi="Century Gothic" w:cs="Times"/>
                <w:sz w:val="20"/>
                <w:szCs w:val="20"/>
                <w:lang w:val="id-ID"/>
              </w:rPr>
              <w:t>To that end, the Ministry of Trade established the Free Trade Agreement Center or FTA Center to assist the government in overcoming asymmetric information and optimizing the utilization of trade a</w:t>
            </w:r>
            <w:r>
              <w:rPr>
                <w:rFonts w:ascii="Century Gothic" w:hAnsi="Century Gothic" w:cs="Times"/>
                <w:sz w:val="20"/>
                <w:szCs w:val="20"/>
                <w:lang w:val="id-ID"/>
              </w:rPr>
              <w:t>greements</w:t>
            </w:r>
            <w:r w:rsidRPr="00E35BA5">
              <w:rPr>
                <w:rFonts w:ascii="Century Gothic" w:hAnsi="Century Gothic" w:cs="Times"/>
                <w:sz w:val="20"/>
                <w:szCs w:val="20"/>
                <w:lang w:val="id-ID"/>
              </w:rPr>
              <w:t>. This study measures the suitability of the implementation of the tasks and targets of the FTA Center in five regions by evaluating the interests</w:t>
            </w:r>
            <w:r>
              <w:rPr>
                <w:rFonts w:ascii="Century Gothic" w:hAnsi="Century Gothic" w:cs="Times"/>
                <w:sz w:val="20"/>
                <w:szCs w:val="20"/>
                <w:lang w:val="id-ID"/>
              </w:rPr>
              <w:t xml:space="preserve"> and satisfaction of the firms</w:t>
            </w:r>
            <w:r w:rsidRPr="00E35BA5">
              <w:rPr>
                <w:rFonts w:ascii="Century Gothic" w:hAnsi="Century Gothic" w:cs="Times"/>
                <w:sz w:val="20"/>
                <w:szCs w:val="20"/>
                <w:lang w:val="id-ID"/>
              </w:rPr>
              <w:t xml:space="preserve"> towards the FTA Center's services by distributing questionnaires and interviews as data collection techniques. Based on the respondent's data, the results show that in the aggregate the results of the study show that various aspects of satisfaction and interest are already at a high satisfaction and importance index, namely openness/easy access to information, attitudes of experts, abilities and skills of experts, access to services, service effectiveness and efficiency, as well as complaint handling. However, the FTA Center can improve the quality in the aspects</w:t>
            </w:r>
            <w:r>
              <w:rPr>
                <w:rFonts w:ascii="Century Gothic" w:hAnsi="Century Gothic" w:cs="Times"/>
                <w:sz w:val="20"/>
                <w:szCs w:val="20"/>
                <w:lang w:val="id-ID"/>
              </w:rPr>
              <w:t xml:space="preserve"> of service information, </w:t>
            </w:r>
            <w:r w:rsidR="008C2743">
              <w:rPr>
                <w:rFonts w:ascii="Century Gothic" w:hAnsi="Century Gothic" w:cs="Times"/>
                <w:sz w:val="20"/>
                <w:szCs w:val="20"/>
                <w:lang w:val="id-ID"/>
              </w:rPr>
              <w:t xml:space="preserve"> facilities</w:t>
            </w:r>
            <w:r w:rsidR="008C2743">
              <w:rPr>
                <w:rFonts w:ascii="Century Gothic" w:hAnsi="Century Gothic" w:cs="Times"/>
                <w:sz w:val="20"/>
                <w:szCs w:val="20"/>
              </w:rPr>
              <w:t>/</w:t>
            </w:r>
            <w:r w:rsidR="008C2743" w:rsidRPr="008C2743">
              <w:rPr>
                <w:rFonts w:ascii="Century Gothic" w:hAnsi="Century Gothic" w:cs="Times"/>
                <w:sz w:val="20"/>
                <w:szCs w:val="20"/>
                <w:lang w:val="id-ID"/>
              </w:rPr>
              <w:t>infrastructure</w:t>
            </w:r>
            <w:r w:rsidRPr="00E35BA5">
              <w:rPr>
                <w:rFonts w:ascii="Century Gothic" w:hAnsi="Century Gothic" w:cs="Times"/>
                <w:sz w:val="20"/>
                <w:szCs w:val="20"/>
                <w:lang w:val="id-ID"/>
              </w:rPr>
              <w:t>, and service completion time.</w:t>
            </w:r>
          </w:p>
          <w:p w14:paraId="061FBBDA" w14:textId="77777777" w:rsidR="00B23872" w:rsidRPr="00ED68E6" w:rsidRDefault="00B23872" w:rsidP="00CE75E4">
            <w:pPr>
              <w:jc w:val="both"/>
              <w:rPr>
                <w:rFonts w:ascii="Century Gothic" w:hAnsi="Century Gothic" w:cs="Times"/>
                <w:sz w:val="20"/>
                <w:szCs w:val="20"/>
                <w:lang w:val="id-ID"/>
              </w:rPr>
            </w:pPr>
          </w:p>
          <w:p w14:paraId="47CA17D5" w14:textId="77777777" w:rsidR="00164C31" w:rsidRDefault="00164C31" w:rsidP="00CE75E4">
            <w:pPr>
              <w:jc w:val="both"/>
              <w:rPr>
                <w:rFonts w:ascii="Century Gothic" w:hAnsi="Century Gothic" w:cs="Times"/>
                <w:sz w:val="20"/>
                <w:szCs w:val="20"/>
                <w:lang w:val="id-ID"/>
              </w:rPr>
            </w:pPr>
            <w:proofErr w:type="spellStart"/>
            <w:r w:rsidRPr="00ED68E6">
              <w:rPr>
                <w:rFonts w:ascii="Century Gothic" w:hAnsi="Century Gothic" w:cs="Times"/>
                <w:i/>
                <w:sz w:val="20"/>
                <w:szCs w:val="20"/>
                <w:lang w:val="id-ID"/>
              </w:rPr>
              <w:t>Keywords</w:t>
            </w:r>
            <w:proofErr w:type="spellEnd"/>
            <w:r w:rsidRPr="00ED68E6">
              <w:rPr>
                <w:rFonts w:ascii="Century Gothic" w:hAnsi="Century Gothic" w:cs="Times"/>
                <w:sz w:val="20"/>
                <w:szCs w:val="20"/>
                <w:lang w:val="id-ID"/>
              </w:rPr>
              <w:t xml:space="preserve">: </w:t>
            </w:r>
            <w:proofErr w:type="spellStart"/>
            <w:r w:rsidR="00544ED2" w:rsidRPr="00983EA0">
              <w:rPr>
                <w:rFonts w:ascii="Century Gothic" w:hAnsi="Century Gothic" w:cs="Times"/>
                <w:i/>
                <w:iCs/>
                <w:sz w:val="20"/>
                <w:szCs w:val="20"/>
                <w:lang w:val="id-ID"/>
              </w:rPr>
              <w:t>Free</w:t>
            </w:r>
            <w:proofErr w:type="spellEnd"/>
            <w:r w:rsidR="00544ED2" w:rsidRPr="00983EA0">
              <w:rPr>
                <w:rFonts w:ascii="Century Gothic" w:hAnsi="Century Gothic" w:cs="Times"/>
                <w:i/>
                <w:iCs/>
                <w:sz w:val="20"/>
                <w:szCs w:val="20"/>
                <w:lang w:val="id-ID"/>
              </w:rPr>
              <w:t xml:space="preserve"> Trade </w:t>
            </w:r>
            <w:proofErr w:type="spellStart"/>
            <w:r w:rsidR="00544ED2" w:rsidRPr="00983EA0">
              <w:rPr>
                <w:rFonts w:ascii="Century Gothic" w:hAnsi="Century Gothic" w:cs="Times"/>
                <w:i/>
                <w:iCs/>
                <w:sz w:val="20"/>
                <w:szCs w:val="20"/>
                <w:lang w:val="id-ID"/>
              </w:rPr>
              <w:t>Agreement</w:t>
            </w:r>
            <w:proofErr w:type="spellEnd"/>
            <w:r w:rsidR="00544ED2" w:rsidRPr="00983EA0">
              <w:rPr>
                <w:rFonts w:ascii="Century Gothic" w:hAnsi="Century Gothic" w:cs="Times"/>
                <w:i/>
                <w:iCs/>
                <w:sz w:val="20"/>
                <w:szCs w:val="20"/>
                <w:lang w:val="id-ID"/>
              </w:rPr>
              <w:t xml:space="preserve">, </w:t>
            </w:r>
            <w:proofErr w:type="spellStart"/>
            <w:r w:rsidR="00544ED2" w:rsidRPr="00983EA0">
              <w:rPr>
                <w:rFonts w:ascii="Century Gothic" w:hAnsi="Century Gothic" w:cs="Times"/>
                <w:i/>
                <w:iCs/>
                <w:sz w:val="20"/>
                <w:szCs w:val="20"/>
                <w:lang w:val="id-ID"/>
              </w:rPr>
              <w:t>Customer</w:t>
            </w:r>
            <w:proofErr w:type="spellEnd"/>
            <w:r w:rsidR="00544ED2" w:rsidRPr="00983EA0">
              <w:rPr>
                <w:rFonts w:ascii="Century Gothic" w:hAnsi="Century Gothic" w:cs="Times"/>
                <w:i/>
                <w:iCs/>
                <w:sz w:val="20"/>
                <w:szCs w:val="20"/>
                <w:lang w:val="id-ID"/>
              </w:rPr>
              <w:t xml:space="preserve"> </w:t>
            </w:r>
            <w:proofErr w:type="spellStart"/>
            <w:r w:rsidR="00544ED2" w:rsidRPr="00983EA0">
              <w:rPr>
                <w:rFonts w:ascii="Century Gothic" w:hAnsi="Century Gothic" w:cs="Times"/>
                <w:i/>
                <w:iCs/>
                <w:sz w:val="20"/>
                <w:szCs w:val="20"/>
                <w:lang w:val="id-ID"/>
              </w:rPr>
              <w:t>Satisfaction</w:t>
            </w:r>
            <w:proofErr w:type="spellEnd"/>
            <w:r w:rsidR="00544ED2" w:rsidRPr="00983EA0">
              <w:rPr>
                <w:rFonts w:ascii="Century Gothic" w:hAnsi="Century Gothic" w:cs="Times"/>
                <w:i/>
                <w:iCs/>
                <w:sz w:val="20"/>
                <w:szCs w:val="20"/>
                <w:lang w:val="id-ID"/>
              </w:rPr>
              <w:t xml:space="preserve">, </w:t>
            </w:r>
            <w:proofErr w:type="spellStart"/>
            <w:r w:rsidR="00544ED2" w:rsidRPr="00983EA0">
              <w:rPr>
                <w:rFonts w:ascii="Century Gothic" w:hAnsi="Century Gothic" w:cs="Times"/>
                <w:i/>
                <w:iCs/>
                <w:sz w:val="20"/>
                <w:szCs w:val="20"/>
                <w:lang w:val="id-ID"/>
              </w:rPr>
              <w:t>Export</w:t>
            </w:r>
            <w:proofErr w:type="spellEnd"/>
            <w:r w:rsidR="00544ED2" w:rsidRPr="00983EA0">
              <w:rPr>
                <w:rFonts w:ascii="Century Gothic" w:hAnsi="Century Gothic" w:cs="Times"/>
                <w:i/>
                <w:iCs/>
                <w:sz w:val="20"/>
                <w:szCs w:val="20"/>
                <w:lang w:val="id-ID"/>
              </w:rPr>
              <w:t xml:space="preserve">, </w:t>
            </w:r>
            <w:proofErr w:type="spellStart"/>
            <w:r w:rsidR="00544ED2" w:rsidRPr="00983EA0">
              <w:rPr>
                <w:rFonts w:ascii="Century Gothic" w:hAnsi="Century Gothic" w:cs="Times"/>
                <w:i/>
                <w:iCs/>
                <w:sz w:val="20"/>
                <w:szCs w:val="20"/>
                <w:lang w:val="id-ID"/>
              </w:rPr>
              <w:t>Information</w:t>
            </w:r>
            <w:proofErr w:type="spellEnd"/>
            <w:r w:rsidR="00544ED2" w:rsidRPr="00983EA0">
              <w:rPr>
                <w:rFonts w:ascii="Century Gothic" w:hAnsi="Century Gothic" w:cs="Times"/>
                <w:i/>
                <w:iCs/>
                <w:sz w:val="20"/>
                <w:szCs w:val="20"/>
                <w:lang w:val="id-ID"/>
              </w:rPr>
              <w:t>.</w:t>
            </w:r>
          </w:p>
          <w:p w14:paraId="274ACF29" w14:textId="426F6D8A" w:rsidR="009E64CC" w:rsidRPr="009E64CC" w:rsidRDefault="009E64CC" w:rsidP="00CE75E4">
            <w:pPr>
              <w:jc w:val="both"/>
              <w:rPr>
                <w:rFonts w:ascii="Century Gothic" w:hAnsi="Century Gothic" w:cs="Times"/>
                <w:sz w:val="20"/>
                <w:szCs w:val="20"/>
                <w:lang w:val="id-ID"/>
              </w:rPr>
            </w:pPr>
          </w:p>
        </w:tc>
      </w:tr>
    </w:tbl>
    <w:p w14:paraId="3DED9A5F" w14:textId="18DBE34C" w:rsidR="00983EA0" w:rsidRPr="00983EA0" w:rsidRDefault="00983EA0" w:rsidP="00983EA0">
      <w:pPr>
        <w:rPr>
          <w:sz w:val="20"/>
          <w:szCs w:val="20"/>
          <w:lang w:val="id-ID"/>
        </w:rPr>
        <w:sectPr w:rsidR="00983EA0" w:rsidRPr="00983EA0" w:rsidSect="00222F20">
          <w:headerReference w:type="default" r:id="rId8"/>
          <w:footerReference w:type="default" r:id="rId9"/>
          <w:headerReference w:type="first" r:id="rId10"/>
          <w:footerReference w:type="first" r:id="rId11"/>
          <w:type w:val="continuous"/>
          <w:pgSz w:w="11894" w:h="16157" w:code="9"/>
          <w:pgMar w:top="1411" w:right="1138" w:bottom="1699" w:left="1138" w:header="1138" w:footer="1138" w:gutter="0"/>
          <w:pgNumType w:start="91"/>
          <w:cols w:space="708"/>
          <w:titlePg/>
          <w:docGrid w:linePitch="360"/>
        </w:sectPr>
      </w:pPr>
    </w:p>
    <w:p w14:paraId="5F480D25" w14:textId="77777777" w:rsidR="00E313A9" w:rsidRPr="00ED68E6" w:rsidRDefault="00E313A9" w:rsidP="00607FC8">
      <w:pPr>
        <w:pStyle w:val="Heading1"/>
        <w:tabs>
          <w:tab w:val="left" w:pos="-3179"/>
          <w:tab w:val="num" w:pos="432"/>
        </w:tabs>
        <w:overflowPunct w:val="0"/>
        <w:autoSpaceDE w:val="0"/>
        <w:autoSpaceDN w:val="0"/>
        <w:adjustRightInd w:val="0"/>
        <w:spacing w:before="0" w:after="0"/>
        <w:jc w:val="both"/>
        <w:textAlignment w:val="baseline"/>
        <w:rPr>
          <w:rFonts w:ascii="Century Gothic" w:hAnsi="Century Gothic"/>
          <w:sz w:val="20"/>
          <w:szCs w:val="20"/>
          <w:lang w:val="id-ID"/>
        </w:rPr>
      </w:pPr>
      <w:r w:rsidRPr="00ED68E6">
        <w:rPr>
          <w:rFonts w:ascii="Century Gothic" w:hAnsi="Century Gothic"/>
          <w:sz w:val="20"/>
          <w:szCs w:val="20"/>
          <w:lang w:val="id-ID"/>
        </w:rPr>
        <w:lastRenderedPageBreak/>
        <w:t>PENDAHULUAN</w:t>
      </w:r>
    </w:p>
    <w:p w14:paraId="6A2D2E17" w14:textId="55501798" w:rsidR="00E313A9" w:rsidRPr="00ED68E6" w:rsidRDefault="00E313A9" w:rsidP="00CE75E4">
      <w:pPr>
        <w:pStyle w:val="Heading2"/>
        <w:numPr>
          <w:ilvl w:val="1"/>
          <w:numId w:val="0"/>
        </w:numPr>
        <w:tabs>
          <w:tab w:val="left" w:pos="540"/>
          <w:tab w:val="num" w:pos="576"/>
          <w:tab w:val="left" w:pos="1440"/>
        </w:tabs>
        <w:overflowPunct w:val="0"/>
        <w:autoSpaceDE w:val="0"/>
        <w:autoSpaceDN w:val="0"/>
        <w:adjustRightInd w:val="0"/>
        <w:spacing w:before="0" w:after="0"/>
        <w:ind w:left="576" w:hanging="576"/>
        <w:jc w:val="both"/>
        <w:textAlignment w:val="baseline"/>
        <w:rPr>
          <w:rFonts w:ascii="Century Gothic" w:hAnsi="Century Gothic"/>
          <w:sz w:val="20"/>
          <w:szCs w:val="20"/>
          <w:lang w:val="id-ID"/>
        </w:rPr>
      </w:pPr>
    </w:p>
    <w:p w14:paraId="576C9C09" w14:textId="383E7FFB" w:rsidR="00544ED2" w:rsidRPr="00ED68E6" w:rsidRDefault="00544ED2" w:rsidP="00CE75E4">
      <w:pPr>
        <w:jc w:val="both"/>
        <w:rPr>
          <w:rFonts w:ascii="Century Gothic" w:hAnsi="Century Gothic"/>
          <w:sz w:val="20"/>
          <w:szCs w:val="20"/>
          <w:lang w:val="id-ID" w:eastAsia="id-ID"/>
        </w:rPr>
      </w:pPr>
      <w:r w:rsidRPr="00ED68E6">
        <w:rPr>
          <w:rFonts w:ascii="Century Gothic" w:hAnsi="Century Gothic"/>
          <w:sz w:val="20"/>
          <w:szCs w:val="20"/>
          <w:lang w:val="id-ID" w:eastAsia="id-ID"/>
        </w:rPr>
        <w:t>Di dalam dinamika perkembangan kerja sama perdagangan yang berkembang dengan cepat, Indonesia telah memiliki beberapa perjanjian perdagangan dengan negara mitra. Di forum regional Indonesia ikut dalam perjanjian: ASEAN Trade in Good Agreement (ATIGA); ASEAN mitra dengan Jepang; Korea; RRT; India; Australia dan New Zealand; dan Hongkong. Sementara itu di forum bilateral Indonesia telah memiliki perjanjian perdagangan dengan Jepang dan Pakistan, juga telah menyelesaikan perjanjian perdagangan dengan Chile, EFTA dan Australia. Tidak hanya untuk meningkatkan perdagangan barang dan jasa, namun FTA juga berpotensi mendorong investasi dan kerja sama ekonomi untuk meningkatkan kapasitas para pelaku usaha di Indonesia dalam mengakses pasar global.</w:t>
      </w:r>
    </w:p>
    <w:p w14:paraId="50C091A1" w14:textId="77777777" w:rsidR="00544ED2" w:rsidRPr="00ED68E6" w:rsidRDefault="00544ED2" w:rsidP="00CE75E4">
      <w:pPr>
        <w:jc w:val="both"/>
        <w:rPr>
          <w:rFonts w:ascii="Century Gothic" w:hAnsi="Century Gothic"/>
          <w:sz w:val="20"/>
          <w:szCs w:val="20"/>
          <w:lang w:val="id-ID" w:eastAsia="id-ID"/>
        </w:rPr>
      </w:pPr>
    </w:p>
    <w:p w14:paraId="414F7194" w14:textId="50C350AE" w:rsidR="00544ED2" w:rsidRPr="00ED68E6" w:rsidRDefault="00544ED2" w:rsidP="00CE75E4">
      <w:pPr>
        <w:jc w:val="both"/>
        <w:rPr>
          <w:rFonts w:ascii="Century Gothic" w:hAnsi="Century Gothic"/>
          <w:sz w:val="20"/>
          <w:szCs w:val="20"/>
          <w:lang w:val="id-ID" w:eastAsia="id-ID"/>
        </w:rPr>
      </w:pPr>
      <w:r w:rsidRPr="00ED68E6">
        <w:rPr>
          <w:rFonts w:ascii="Century Gothic" w:hAnsi="Century Gothic"/>
          <w:sz w:val="20"/>
          <w:szCs w:val="20"/>
          <w:lang w:val="id-ID" w:eastAsia="id-ID"/>
        </w:rPr>
        <w:t xml:space="preserve">Sementara itu, walaupun telah banyak perjanjian yang telah dapat dimanfaatkan, namun pemanfaatannya masih belum optimal. Salah satunya, menunjukkan bukti bahwa pemanfaatan perjanjian ASEAN masih didominasi oleh perusahaan besar dan perusahaan multinasional baik di ASEAN maupun Non-ASEAN. Hal ini salah satunya disebabkan adanya </w:t>
      </w:r>
      <w:r w:rsidRPr="00ED68E6">
        <w:rPr>
          <w:rFonts w:ascii="Century Gothic" w:hAnsi="Century Gothic"/>
          <w:i/>
          <w:sz w:val="20"/>
          <w:szCs w:val="20"/>
          <w:lang w:val="id-ID" w:eastAsia="id-ID"/>
        </w:rPr>
        <w:t>asymmetric information</w:t>
      </w:r>
      <w:r w:rsidRPr="00ED68E6">
        <w:rPr>
          <w:rFonts w:ascii="Century Gothic" w:hAnsi="Century Gothic"/>
          <w:sz w:val="20"/>
          <w:szCs w:val="20"/>
          <w:lang w:val="id-ID" w:eastAsia="id-ID"/>
        </w:rPr>
        <w:t xml:space="preserve"> antara pemerintah dan pelaku usaha, di mana informasi yang diperoleh para pelaku usaha tidak diterima secara sempurna. Indonesia memerlukan FTA Center untuk membantu pemerintah dalam mengatasi </w:t>
      </w:r>
      <w:r w:rsidRPr="00ED68E6">
        <w:rPr>
          <w:rFonts w:ascii="Century Gothic" w:hAnsi="Century Gothic"/>
          <w:i/>
          <w:sz w:val="20"/>
          <w:szCs w:val="20"/>
          <w:lang w:val="id-ID" w:eastAsia="id-ID"/>
        </w:rPr>
        <w:t>asymmetric information</w:t>
      </w:r>
      <w:r w:rsidRPr="00ED68E6">
        <w:rPr>
          <w:rFonts w:ascii="Century Gothic" w:hAnsi="Century Gothic"/>
          <w:sz w:val="20"/>
          <w:szCs w:val="20"/>
          <w:lang w:val="id-ID" w:eastAsia="id-ID"/>
        </w:rPr>
        <w:t xml:space="preserve"> dan mengoptimalkan pemanfaatan perjanjian perdagangan dengan negara mitra.</w:t>
      </w:r>
    </w:p>
    <w:p w14:paraId="4ECC1CBE" w14:textId="77777777" w:rsidR="00544ED2" w:rsidRPr="00ED68E6" w:rsidRDefault="00544ED2" w:rsidP="00CE75E4">
      <w:pPr>
        <w:jc w:val="both"/>
        <w:rPr>
          <w:rFonts w:ascii="Century Gothic" w:hAnsi="Century Gothic"/>
          <w:sz w:val="20"/>
          <w:szCs w:val="20"/>
          <w:lang w:val="id-ID" w:eastAsia="id-ID"/>
        </w:rPr>
      </w:pPr>
    </w:p>
    <w:p w14:paraId="1FC51103" w14:textId="5EFC6E6F" w:rsidR="00544ED2" w:rsidRPr="00ED68E6" w:rsidRDefault="00A1036A" w:rsidP="00CE75E4">
      <w:pPr>
        <w:jc w:val="both"/>
        <w:rPr>
          <w:rFonts w:ascii="Century Gothic" w:hAnsi="Century Gothic"/>
          <w:sz w:val="20"/>
          <w:szCs w:val="20"/>
          <w:lang w:val="id-ID" w:eastAsia="id-ID"/>
        </w:rPr>
      </w:pPr>
      <w:r w:rsidRPr="00ED68E6">
        <w:rPr>
          <w:rFonts w:ascii="Century Gothic" w:hAnsi="Century Gothic"/>
          <w:sz w:val="20"/>
          <w:szCs w:val="20"/>
          <w:lang w:val="id-ID" w:eastAsia="id-ID"/>
        </w:rPr>
        <w:t>Kementerian Perdagangan sejak</w:t>
      </w:r>
      <w:r w:rsidR="00544ED2" w:rsidRPr="00ED68E6">
        <w:rPr>
          <w:rFonts w:ascii="Century Gothic" w:hAnsi="Century Gothic"/>
          <w:sz w:val="20"/>
          <w:szCs w:val="20"/>
          <w:lang w:val="id-ID" w:eastAsia="id-ID"/>
        </w:rPr>
        <w:t xml:space="preserve"> tahun 2018 telah menginisiasi kolaborasi antara pemerintah sebagai pembuat kebijakan, universitas yang ahli dalam perdagangan internasional dan pelaku usaha profesional yang mengerti tentang prosedur ekspor, untuk menjalankan proyek FTA Center di lima daerah, yaitu Jakarta, Bandung, Surabaya, Medan dan Makassar. Kegiatan yang dilaksanakan oleh FTA Center ini meliputi kegiatan konsultasi, edukasi, dan advokasi. Hasil yang cukup baik </w:t>
      </w:r>
      <w:r w:rsidR="00544ED2" w:rsidRPr="00ED68E6">
        <w:rPr>
          <w:rFonts w:ascii="Century Gothic" w:hAnsi="Century Gothic"/>
          <w:sz w:val="20"/>
          <w:szCs w:val="20"/>
          <w:lang w:val="id-ID" w:eastAsia="id-ID"/>
        </w:rPr>
        <w:t xml:space="preserve">didapatkan di tahun pertama pelaksanaan kolaborasi ini, dilihat dari antusiasme masyarakat yang datang untuk berkonsultasi di kantor FTA Center. FTA Center bahkan juga membantu para pelaku usaha yang sama sekali belum pernah melakukan ekspor dan mendampingi sampai pelaku usaha tersebut melakukan ekspor. </w:t>
      </w:r>
    </w:p>
    <w:p w14:paraId="1B8AF604" w14:textId="77777777" w:rsidR="00544ED2" w:rsidRPr="00ED68E6" w:rsidRDefault="00544ED2" w:rsidP="00CE75E4">
      <w:pPr>
        <w:jc w:val="both"/>
        <w:rPr>
          <w:rFonts w:ascii="Century Gothic" w:hAnsi="Century Gothic"/>
          <w:sz w:val="20"/>
          <w:szCs w:val="20"/>
          <w:lang w:val="id-ID" w:eastAsia="id-ID"/>
        </w:rPr>
      </w:pPr>
    </w:p>
    <w:p w14:paraId="0E91B0E6" w14:textId="6B46BEEC" w:rsidR="00544ED2" w:rsidRPr="00ED68E6" w:rsidRDefault="00544ED2" w:rsidP="00CE75E4">
      <w:pPr>
        <w:jc w:val="both"/>
        <w:rPr>
          <w:rFonts w:ascii="Century Gothic" w:hAnsi="Century Gothic"/>
          <w:sz w:val="20"/>
          <w:szCs w:val="20"/>
          <w:lang w:val="id-ID" w:eastAsia="id-ID"/>
        </w:rPr>
      </w:pPr>
      <w:r w:rsidRPr="00ED68E6">
        <w:rPr>
          <w:rFonts w:ascii="Century Gothic" w:hAnsi="Century Gothic"/>
          <w:sz w:val="20"/>
          <w:szCs w:val="20"/>
          <w:lang w:val="id-ID" w:eastAsia="id-ID"/>
        </w:rPr>
        <w:t>FTA Center memiliki visi dan misi, membentuk kesepahaman mengenai pentingnya FTA bagi perekonomian Indonesia, menjelaskan dampak positif dan negatif dari FTA bagi Indonesia, menyediakan materi sosialisasi FTA yang menjadi rujukan bagi setiap kegiatan sosialisasi FTA di Indonesia. FTA Center juga memberikan informasi terbaru terkait hasil perundingan perdagangan bebas atau Free Trade Agreement serta cara pemanfaatan FTA yang telah disepakati oleh Indonesia. Selain itu, FTA Center juga wajib merespons pertanyaan dan keluhan masyarakat terkait implikasi pelaksanaan FTA dan menyediakan kegiatan peningkatan kapasitas masyarakat Indonesia dalam memanfaatkan hasil kesepakatan FTA.</w:t>
      </w:r>
    </w:p>
    <w:p w14:paraId="6C436121" w14:textId="77777777" w:rsidR="00544ED2" w:rsidRPr="00ED68E6" w:rsidRDefault="00544ED2" w:rsidP="00CE75E4">
      <w:pPr>
        <w:jc w:val="both"/>
        <w:rPr>
          <w:rFonts w:ascii="Century Gothic" w:hAnsi="Century Gothic"/>
          <w:sz w:val="20"/>
          <w:szCs w:val="20"/>
          <w:lang w:val="id-ID" w:eastAsia="id-ID"/>
        </w:rPr>
      </w:pPr>
    </w:p>
    <w:p w14:paraId="063C1C89" w14:textId="4F1ED0F7" w:rsidR="00544ED2" w:rsidRPr="00ED68E6" w:rsidRDefault="00544ED2" w:rsidP="00CE75E4">
      <w:pPr>
        <w:jc w:val="both"/>
        <w:rPr>
          <w:rFonts w:ascii="Century Gothic" w:hAnsi="Century Gothic"/>
          <w:sz w:val="20"/>
          <w:szCs w:val="20"/>
          <w:lang w:val="id-ID" w:eastAsia="id-ID"/>
        </w:rPr>
      </w:pPr>
      <w:r w:rsidRPr="00ED68E6">
        <w:rPr>
          <w:rFonts w:ascii="Century Gothic" w:hAnsi="Century Gothic"/>
          <w:sz w:val="20"/>
          <w:szCs w:val="20"/>
          <w:lang w:val="id-ID" w:eastAsia="id-ID"/>
        </w:rPr>
        <w:t>Beberapa layanan yang diberikan oleh FTA Center yaitu pertama Jasa edukasi/sosialisasi. FTA Center melakukan kegiatan peningkatan kapabilitas pelaku usaha kecil menengah untuk mampu bersaing di pasar global. Yang kedua yaitu Jasa konsultasi yang membantu para pelaku usaha dalam mengatur rencana perusahaan dalam proses ekspor, termasuk penggunaan surat keterangan asal (SKA, akses pembiayaan, prosedur ekspor, strategi promosi, dan pemasaran ke luar negeri. Terakhir, Jasa advokasi yaitu memberikan bantuan kepada pelaku usaha terkait permasalahan atau hambatan yang mereka hadapi dalam memanfaatkan perjanjian perdagangan internasional/FTA.</w:t>
      </w:r>
    </w:p>
    <w:p w14:paraId="03923C74" w14:textId="7D66F0E9" w:rsidR="00544ED2" w:rsidRPr="00ED68E6" w:rsidRDefault="00544ED2" w:rsidP="00CE75E4">
      <w:pPr>
        <w:jc w:val="both"/>
        <w:rPr>
          <w:rFonts w:ascii="Century Gothic" w:hAnsi="Century Gothic"/>
          <w:sz w:val="20"/>
          <w:szCs w:val="20"/>
          <w:lang w:val="id-ID" w:eastAsia="id-ID"/>
        </w:rPr>
      </w:pPr>
    </w:p>
    <w:p w14:paraId="3F03E01B" w14:textId="77777777" w:rsidR="004C1537" w:rsidRPr="00ED68E6" w:rsidRDefault="00A1036A" w:rsidP="00CE75E4">
      <w:pPr>
        <w:jc w:val="both"/>
        <w:rPr>
          <w:rFonts w:ascii="Century Gothic" w:hAnsi="Century Gothic"/>
          <w:sz w:val="20"/>
          <w:szCs w:val="20"/>
          <w:lang w:val="id-ID" w:eastAsia="id-ID"/>
        </w:rPr>
      </w:pPr>
      <w:r w:rsidRPr="00ED68E6">
        <w:rPr>
          <w:rFonts w:ascii="Century Gothic" w:hAnsi="Century Gothic"/>
          <w:sz w:val="20"/>
          <w:szCs w:val="20"/>
          <w:lang w:val="id-ID" w:eastAsia="id-ID"/>
        </w:rPr>
        <w:t xml:space="preserve">Meskipun demikian, FTA Center yang didirikan tersebut belum berjalan seoptimal yang diinginkan. Keberadaan entitas ini dirasa belum efektif dalam meningkatkan perdagangan, di mana daya saing produk Indonesia saat ini masih relatif belum tinggi dibandingkan negara lainnya. Hal tersebut menjadi kendala bagi produk Indonesia untuk menembus pasar </w:t>
      </w:r>
      <w:r w:rsidRPr="00ED68E6">
        <w:rPr>
          <w:rFonts w:ascii="Century Gothic" w:hAnsi="Century Gothic"/>
          <w:sz w:val="20"/>
          <w:szCs w:val="20"/>
          <w:lang w:val="id-ID" w:eastAsia="id-ID"/>
        </w:rPr>
        <w:lastRenderedPageBreak/>
        <w:t xml:space="preserve">global, selain masih terdapat berbagai hambatan lain, baik tarif maupun nontarif. </w:t>
      </w:r>
    </w:p>
    <w:p w14:paraId="1D89BB2F" w14:textId="77777777" w:rsidR="00E03835" w:rsidRPr="00ED68E6" w:rsidRDefault="00E03835" w:rsidP="00CE75E4">
      <w:pPr>
        <w:jc w:val="both"/>
        <w:rPr>
          <w:rFonts w:ascii="Century Gothic" w:hAnsi="Century Gothic"/>
          <w:sz w:val="20"/>
          <w:szCs w:val="20"/>
          <w:lang w:val="id-ID" w:eastAsia="id-ID"/>
        </w:rPr>
      </w:pPr>
    </w:p>
    <w:p w14:paraId="266E85D2" w14:textId="7F6D3C16" w:rsidR="004C1537" w:rsidRPr="00ED68E6" w:rsidRDefault="004C1537" w:rsidP="006A18DF">
      <w:pPr>
        <w:jc w:val="both"/>
        <w:rPr>
          <w:rFonts w:ascii="Century Gothic" w:hAnsi="Century Gothic"/>
          <w:sz w:val="20"/>
          <w:szCs w:val="20"/>
          <w:lang w:val="id-ID" w:eastAsia="id-ID"/>
        </w:rPr>
      </w:pPr>
      <w:r w:rsidRPr="00ED68E6">
        <w:rPr>
          <w:rFonts w:ascii="Century Gothic" w:hAnsi="Century Gothic"/>
          <w:sz w:val="20"/>
          <w:szCs w:val="20"/>
          <w:lang w:val="id-ID" w:eastAsia="id-ID"/>
        </w:rPr>
        <w:t>Penelitian ini bertujuan untuk mengidentifikasi kesesuaian pelaksanaan tugas dan ta</w:t>
      </w:r>
      <w:r w:rsidR="006A18DF" w:rsidRPr="00ED68E6">
        <w:rPr>
          <w:rFonts w:ascii="Century Gothic" w:hAnsi="Century Gothic"/>
          <w:sz w:val="20"/>
          <w:szCs w:val="20"/>
          <w:lang w:val="id-ID" w:eastAsia="id-ID"/>
        </w:rPr>
        <w:t xml:space="preserve">rget FTA Center di lima daerah melalui evaluasi evaluasi kepentingan dan kepuasan masyarakat terhadap layanan free trade agreement center, </w:t>
      </w:r>
      <w:r w:rsidRPr="00ED68E6">
        <w:rPr>
          <w:rFonts w:ascii="Century Gothic" w:hAnsi="Century Gothic"/>
          <w:sz w:val="20"/>
          <w:szCs w:val="20"/>
          <w:lang w:val="id-ID" w:eastAsia="id-ID"/>
        </w:rPr>
        <w:t>serta analisis keunggulan, kekurangan serta rekomendasi pengembangan FTA Center.</w:t>
      </w:r>
    </w:p>
    <w:p w14:paraId="38661CC2" w14:textId="77777777" w:rsidR="00E03835" w:rsidRPr="00ED68E6" w:rsidRDefault="00E03835" w:rsidP="00CE75E4">
      <w:pPr>
        <w:jc w:val="both"/>
        <w:rPr>
          <w:rFonts w:ascii="Century Gothic" w:eastAsiaTheme="majorEastAsia" w:hAnsi="Century Gothic" w:cstheme="majorBidi"/>
          <w:b/>
          <w:bCs/>
          <w:kern w:val="32"/>
          <w:sz w:val="20"/>
          <w:szCs w:val="20"/>
          <w:lang w:val="id-ID"/>
        </w:rPr>
      </w:pPr>
    </w:p>
    <w:p w14:paraId="7C1B948E" w14:textId="09165276" w:rsidR="00471381" w:rsidRPr="00ED68E6" w:rsidRDefault="00167094" w:rsidP="00CE75E4">
      <w:pPr>
        <w:jc w:val="both"/>
        <w:rPr>
          <w:rFonts w:ascii="Century Gothic" w:eastAsiaTheme="majorEastAsia" w:hAnsi="Century Gothic" w:cstheme="majorBidi"/>
          <w:b/>
          <w:bCs/>
          <w:kern w:val="32"/>
          <w:sz w:val="20"/>
          <w:szCs w:val="20"/>
          <w:lang w:val="id-ID"/>
        </w:rPr>
      </w:pPr>
      <w:r w:rsidRPr="00ED68E6">
        <w:rPr>
          <w:rFonts w:ascii="Century Gothic" w:eastAsiaTheme="majorEastAsia" w:hAnsi="Century Gothic" w:cstheme="majorBidi"/>
          <w:b/>
          <w:bCs/>
          <w:kern w:val="32"/>
          <w:sz w:val="20"/>
          <w:szCs w:val="20"/>
          <w:lang w:val="id-ID"/>
        </w:rPr>
        <w:t>METODOLOGI</w:t>
      </w:r>
    </w:p>
    <w:p w14:paraId="44CFC369" w14:textId="74DBF62A" w:rsidR="00CE75E4" w:rsidRPr="00ED68E6" w:rsidRDefault="00CE75E4" w:rsidP="00CE75E4">
      <w:pPr>
        <w:jc w:val="both"/>
        <w:rPr>
          <w:rFonts w:ascii="Century Gothic" w:hAnsi="Century Gothic"/>
          <w:sz w:val="20"/>
          <w:szCs w:val="20"/>
          <w:lang w:val="id-ID" w:eastAsia="id-ID"/>
        </w:rPr>
      </w:pPr>
      <w:r w:rsidRPr="00ED68E6">
        <w:rPr>
          <w:rFonts w:ascii="Century Gothic" w:hAnsi="Century Gothic"/>
          <w:sz w:val="20"/>
          <w:szCs w:val="20"/>
          <w:lang w:val="id-ID" w:eastAsia="id-ID"/>
        </w:rPr>
        <w:t xml:space="preserve">Penelitian ini menggunakan kombinasi pendekatan kuantitatif dan kualitatif Pendekatan kuantitatif dilakukan dengan metode survei menggunakan kuesioner sedangkan pendekatan kualitatif dilaksanakan melalui metode wawancara dalam bentuk focus group discussion (FGD) di masing-masing lokasi FTA Center. Pengambilan sampel dilakukan dengan teknik sampling bertujuan atau </w:t>
      </w:r>
      <w:r w:rsidRPr="00ED68E6">
        <w:rPr>
          <w:rFonts w:ascii="Century Gothic" w:hAnsi="Century Gothic"/>
          <w:i/>
          <w:sz w:val="20"/>
          <w:szCs w:val="20"/>
          <w:lang w:val="id-ID" w:eastAsia="id-ID"/>
        </w:rPr>
        <w:t>purposive sampling</w:t>
      </w:r>
      <w:r w:rsidRPr="00ED68E6">
        <w:rPr>
          <w:rFonts w:ascii="Century Gothic" w:hAnsi="Century Gothic"/>
          <w:sz w:val="20"/>
          <w:szCs w:val="20"/>
          <w:lang w:val="id-ID" w:eastAsia="id-ID"/>
        </w:rPr>
        <w:t>.</w:t>
      </w:r>
    </w:p>
    <w:p w14:paraId="1A0E9704" w14:textId="77777777" w:rsidR="00CE75E4" w:rsidRPr="00ED68E6" w:rsidRDefault="00CE75E4" w:rsidP="00CE75E4">
      <w:pPr>
        <w:jc w:val="both"/>
        <w:rPr>
          <w:rFonts w:ascii="Century Gothic" w:hAnsi="Century Gothic"/>
          <w:sz w:val="20"/>
          <w:szCs w:val="20"/>
          <w:lang w:val="id-ID" w:eastAsia="id-ID"/>
        </w:rPr>
      </w:pPr>
    </w:p>
    <w:p w14:paraId="478CD0B3" w14:textId="128EA90B" w:rsidR="00471381" w:rsidRPr="00ED68E6" w:rsidRDefault="0014336E" w:rsidP="00CE75E4">
      <w:pPr>
        <w:jc w:val="both"/>
        <w:rPr>
          <w:rFonts w:ascii="Century Gothic" w:hAnsi="Century Gothic"/>
          <w:sz w:val="20"/>
          <w:szCs w:val="20"/>
          <w:lang w:val="id-ID"/>
        </w:rPr>
      </w:pPr>
      <w:r w:rsidRPr="00ED68E6">
        <w:rPr>
          <w:rFonts w:ascii="Century Gothic" w:hAnsi="Century Gothic"/>
          <w:sz w:val="20"/>
          <w:szCs w:val="20"/>
          <w:lang w:val="id-ID"/>
        </w:rPr>
        <w:t>Temuan dan data yang diperoleh dari hasil survei dan FGD kemudian diproses dan dianalisis dengan memanfaatkan teknik statistik yang relevan. Berdasarkan pertanyaan dan tujuan penelitian yang telah ditetapkan, metode analisis data yang digunakan dalam penelitian ini mencakup statistik deskriptif, matriks hubungan kepentingan dan kepuasan, dan analisis konten.</w:t>
      </w:r>
    </w:p>
    <w:p w14:paraId="05F7C25F" w14:textId="51FA09FB" w:rsidR="0014336E" w:rsidRPr="00ED68E6" w:rsidRDefault="0014336E" w:rsidP="00CE75E4">
      <w:pPr>
        <w:jc w:val="both"/>
        <w:rPr>
          <w:rFonts w:ascii="Century Gothic" w:hAnsi="Century Gothic"/>
          <w:sz w:val="20"/>
          <w:szCs w:val="20"/>
          <w:lang w:val="id-ID"/>
        </w:rPr>
      </w:pPr>
    </w:p>
    <w:p w14:paraId="33F8B64F" w14:textId="177B1352" w:rsidR="00CE75E4" w:rsidRPr="00ED68E6" w:rsidRDefault="00CE75E4" w:rsidP="00E03835">
      <w:pPr>
        <w:pStyle w:val="Heading1"/>
        <w:tabs>
          <w:tab w:val="left" w:pos="-3179"/>
          <w:tab w:val="num" w:pos="432"/>
        </w:tabs>
        <w:overflowPunct w:val="0"/>
        <w:autoSpaceDE w:val="0"/>
        <w:autoSpaceDN w:val="0"/>
        <w:adjustRightInd w:val="0"/>
        <w:spacing w:before="0" w:after="0"/>
        <w:ind w:left="431" w:hanging="431"/>
        <w:jc w:val="both"/>
        <w:textAlignment w:val="baseline"/>
        <w:rPr>
          <w:rFonts w:ascii="Century Gothic" w:hAnsi="Century Gothic"/>
          <w:sz w:val="20"/>
          <w:szCs w:val="20"/>
          <w:lang w:val="id-ID"/>
        </w:rPr>
      </w:pPr>
      <w:r w:rsidRPr="00ED68E6">
        <w:rPr>
          <w:rFonts w:ascii="Century Gothic" w:hAnsi="Century Gothic"/>
          <w:sz w:val="20"/>
          <w:szCs w:val="20"/>
          <w:lang w:val="id-ID"/>
        </w:rPr>
        <w:t xml:space="preserve">STUDI PUSTAKA </w:t>
      </w:r>
    </w:p>
    <w:p w14:paraId="44D7A83D" w14:textId="7BB17843" w:rsidR="00CE75E4" w:rsidRPr="00ED68E6" w:rsidRDefault="00CE75E4" w:rsidP="00E03835">
      <w:pPr>
        <w:pStyle w:val="Heading2"/>
        <w:spacing w:before="0" w:after="0"/>
        <w:rPr>
          <w:rFonts w:ascii="Century Gothic" w:hAnsi="Century Gothic"/>
          <w:sz w:val="20"/>
          <w:szCs w:val="20"/>
          <w:lang w:val="id-ID"/>
        </w:rPr>
      </w:pPr>
      <w:r w:rsidRPr="00ED68E6">
        <w:rPr>
          <w:rFonts w:ascii="Century Gothic" w:hAnsi="Century Gothic"/>
          <w:sz w:val="20"/>
          <w:szCs w:val="20"/>
          <w:lang w:val="id-ID"/>
        </w:rPr>
        <w:t>Kepuasan Layanan</w:t>
      </w:r>
    </w:p>
    <w:p w14:paraId="7A57D47D" w14:textId="77777777" w:rsidR="0014336E" w:rsidRPr="00ED68E6" w:rsidRDefault="00CE75E4" w:rsidP="00CE75E4">
      <w:pPr>
        <w:jc w:val="both"/>
        <w:rPr>
          <w:rFonts w:ascii="Century Gothic" w:hAnsi="Century Gothic"/>
          <w:sz w:val="20"/>
          <w:szCs w:val="20"/>
          <w:lang w:val="id-ID"/>
        </w:rPr>
      </w:pPr>
      <w:r w:rsidRPr="00ED68E6">
        <w:rPr>
          <w:rFonts w:ascii="Century Gothic" w:hAnsi="Century Gothic"/>
          <w:sz w:val="20"/>
          <w:szCs w:val="20"/>
          <w:lang w:val="id-ID"/>
        </w:rPr>
        <w:t>Dimensi kepuasan layanan merujuk pada definisi layanan jasa sesuai dengan ketentuan layanan yang dirujuk FTA Center sesuai indikator yang disepakati dengan ruj</w:t>
      </w:r>
      <w:r w:rsidR="0014336E" w:rsidRPr="00ED68E6">
        <w:rPr>
          <w:rFonts w:ascii="Century Gothic" w:hAnsi="Century Gothic"/>
          <w:sz w:val="20"/>
          <w:szCs w:val="20"/>
          <w:lang w:val="id-ID"/>
        </w:rPr>
        <w:t>ukan regulasi yang ada.  L</w:t>
      </w:r>
      <w:r w:rsidRPr="00ED68E6">
        <w:rPr>
          <w:rFonts w:ascii="Century Gothic" w:hAnsi="Century Gothic"/>
          <w:sz w:val="20"/>
          <w:szCs w:val="20"/>
          <w:lang w:val="id-ID"/>
        </w:rPr>
        <w:t xml:space="preserve">ayanan jasa yang dimaksud meliputi jasa edukasi/sosialisasi, jasa konsultan, jasa advokasi, jasa </w:t>
      </w:r>
      <w:r w:rsidR="0014336E" w:rsidRPr="00ED68E6">
        <w:rPr>
          <w:rFonts w:ascii="Century Gothic" w:hAnsi="Century Gothic"/>
          <w:sz w:val="20"/>
          <w:szCs w:val="20"/>
          <w:lang w:val="id-ID"/>
        </w:rPr>
        <w:t>pelatihan ekspor. R</w:t>
      </w:r>
      <w:r w:rsidRPr="00ED68E6">
        <w:rPr>
          <w:rFonts w:ascii="Century Gothic" w:hAnsi="Century Gothic"/>
          <w:sz w:val="20"/>
          <w:szCs w:val="20"/>
          <w:lang w:val="id-ID"/>
        </w:rPr>
        <w:t>anah layanan yang dimaksud mencakup</w:t>
      </w:r>
      <w:r w:rsidR="0014336E" w:rsidRPr="00ED68E6">
        <w:rPr>
          <w:rFonts w:ascii="Century Gothic" w:hAnsi="Century Gothic"/>
          <w:sz w:val="20"/>
          <w:szCs w:val="20"/>
          <w:lang w:val="id-ID"/>
        </w:rPr>
        <w:t>:</w:t>
      </w:r>
    </w:p>
    <w:p w14:paraId="5F92E3E6" w14:textId="77777777" w:rsidR="0014336E" w:rsidRPr="00ED68E6" w:rsidRDefault="00CE75E4" w:rsidP="0014336E">
      <w:pPr>
        <w:pStyle w:val="ListParagraph"/>
        <w:numPr>
          <w:ilvl w:val="0"/>
          <w:numId w:val="5"/>
        </w:numPr>
        <w:ind w:left="426"/>
        <w:rPr>
          <w:rFonts w:ascii="Century Gothic" w:hAnsi="Century Gothic"/>
          <w:sz w:val="20"/>
          <w:szCs w:val="20"/>
          <w:lang w:val="id-ID"/>
        </w:rPr>
      </w:pPr>
      <w:r w:rsidRPr="00ED68E6">
        <w:rPr>
          <w:rFonts w:ascii="Century Gothic" w:hAnsi="Century Gothic"/>
          <w:sz w:val="20"/>
          <w:szCs w:val="20"/>
          <w:lang w:val="id-ID"/>
        </w:rPr>
        <w:t xml:space="preserve">Edukasi yang dilaksanakan dengan berkolaborasi dengan berbagai pihak baik melalui seminar, workshop, publikasi </w:t>
      </w:r>
    </w:p>
    <w:p w14:paraId="332C9C46" w14:textId="77777777" w:rsidR="0014336E" w:rsidRPr="00ED68E6" w:rsidRDefault="00CE75E4" w:rsidP="0014336E">
      <w:pPr>
        <w:pStyle w:val="ListParagraph"/>
        <w:numPr>
          <w:ilvl w:val="0"/>
          <w:numId w:val="5"/>
        </w:numPr>
        <w:ind w:left="426"/>
        <w:rPr>
          <w:rFonts w:ascii="Century Gothic" w:hAnsi="Century Gothic"/>
          <w:sz w:val="20"/>
          <w:szCs w:val="20"/>
          <w:lang w:val="id-ID"/>
        </w:rPr>
      </w:pPr>
      <w:r w:rsidRPr="00ED68E6">
        <w:rPr>
          <w:rFonts w:ascii="Century Gothic" w:hAnsi="Century Gothic"/>
          <w:sz w:val="20"/>
          <w:szCs w:val="20"/>
          <w:lang w:val="id-ID"/>
        </w:rPr>
        <w:t>Konsultasi diberikan kepada para pelaku usaha tentang berbagai maca</w:t>
      </w:r>
      <w:r w:rsidR="0014336E" w:rsidRPr="00ED68E6">
        <w:rPr>
          <w:rFonts w:ascii="Century Gothic" w:hAnsi="Century Gothic"/>
          <w:sz w:val="20"/>
          <w:szCs w:val="20"/>
          <w:lang w:val="id-ID"/>
        </w:rPr>
        <w:t>m topik</w:t>
      </w:r>
    </w:p>
    <w:p w14:paraId="205E113E" w14:textId="0BD8254B" w:rsidR="00CE75E4" w:rsidRPr="00ED68E6" w:rsidRDefault="00CE75E4" w:rsidP="0014336E">
      <w:pPr>
        <w:pStyle w:val="ListParagraph"/>
        <w:numPr>
          <w:ilvl w:val="0"/>
          <w:numId w:val="5"/>
        </w:numPr>
        <w:ind w:left="426"/>
        <w:rPr>
          <w:rFonts w:ascii="Century Gothic" w:hAnsi="Century Gothic"/>
          <w:sz w:val="20"/>
          <w:szCs w:val="20"/>
          <w:lang w:val="id-ID"/>
        </w:rPr>
      </w:pPr>
      <w:r w:rsidRPr="00ED68E6">
        <w:rPr>
          <w:rFonts w:ascii="Century Gothic" w:hAnsi="Century Gothic"/>
          <w:sz w:val="20"/>
          <w:szCs w:val="20"/>
          <w:lang w:val="id-ID"/>
        </w:rPr>
        <w:t>Advokasi diberikan untuk membantu penyelesaian permasalahan yang dihadapi pelaku usaha</w:t>
      </w:r>
    </w:p>
    <w:p w14:paraId="41574E79" w14:textId="05DF5DE6" w:rsidR="00CE75E4" w:rsidRPr="00ED68E6" w:rsidRDefault="00CE75E4" w:rsidP="0014336E">
      <w:pPr>
        <w:pStyle w:val="Heading2"/>
        <w:rPr>
          <w:rFonts w:ascii="Century Gothic" w:hAnsi="Century Gothic" w:cs="Calibri Light"/>
          <w:sz w:val="20"/>
          <w:szCs w:val="20"/>
          <w:lang w:val="id-ID"/>
        </w:rPr>
      </w:pPr>
      <w:r w:rsidRPr="00ED68E6">
        <w:rPr>
          <w:rFonts w:ascii="Century Gothic" w:hAnsi="Century Gothic" w:cs="Calibri Light"/>
          <w:sz w:val="20"/>
          <w:szCs w:val="20"/>
          <w:lang w:val="id-ID"/>
        </w:rPr>
        <w:t>Kualitas Layanan</w:t>
      </w:r>
    </w:p>
    <w:p w14:paraId="4D6A5804" w14:textId="77777777" w:rsidR="00CE75E4" w:rsidRPr="00ED68E6" w:rsidRDefault="00CE75E4" w:rsidP="00CE75E4">
      <w:pPr>
        <w:jc w:val="both"/>
        <w:rPr>
          <w:rFonts w:ascii="Century Gothic" w:hAnsi="Century Gothic"/>
          <w:sz w:val="20"/>
          <w:szCs w:val="20"/>
          <w:lang w:val="id-ID"/>
        </w:rPr>
      </w:pPr>
      <w:r w:rsidRPr="00ED68E6">
        <w:rPr>
          <w:rFonts w:ascii="Century Gothic" w:hAnsi="Century Gothic"/>
          <w:sz w:val="20"/>
          <w:szCs w:val="20"/>
          <w:lang w:val="id-ID"/>
        </w:rPr>
        <w:t>Dimensi kualitas layanan merujuk pada kualitas jasa yang diharapkan (</w:t>
      </w:r>
      <w:r w:rsidRPr="00ED68E6">
        <w:rPr>
          <w:rFonts w:ascii="Century Gothic" w:hAnsi="Century Gothic"/>
          <w:i/>
          <w:sz w:val="20"/>
          <w:szCs w:val="20"/>
          <w:lang w:val="id-ID"/>
        </w:rPr>
        <w:t>expected service</w:t>
      </w:r>
      <w:r w:rsidRPr="00ED68E6">
        <w:rPr>
          <w:rFonts w:ascii="Century Gothic" w:hAnsi="Century Gothic"/>
          <w:sz w:val="20"/>
          <w:szCs w:val="20"/>
          <w:lang w:val="id-ID"/>
        </w:rPr>
        <w:t>) dan kualitas jasa yang diterima atau di rasakan (</w:t>
      </w:r>
      <w:r w:rsidRPr="00ED68E6">
        <w:rPr>
          <w:rFonts w:ascii="Century Gothic" w:hAnsi="Century Gothic"/>
          <w:i/>
          <w:sz w:val="20"/>
          <w:szCs w:val="20"/>
          <w:lang w:val="id-ID"/>
        </w:rPr>
        <w:t>perceived service</w:t>
      </w:r>
      <w:r w:rsidRPr="00ED68E6">
        <w:rPr>
          <w:rFonts w:ascii="Century Gothic" w:hAnsi="Century Gothic"/>
          <w:sz w:val="20"/>
          <w:szCs w:val="20"/>
          <w:lang w:val="id-ID"/>
        </w:rPr>
        <w:t xml:space="preserve">) dari layanan yang telah dilakukan dengan indikator kualitas yang disepakati sesuai dengan tujuan pembentukan FTA Center. Dalam perkembangan selanjutnya Parasuraman et al., (dalam Zeithaml dan Bitner (1996: 118) dalam Tjiptono sampai pada kesimpulan bahwa kesepuluh dimensi kualitas pelayanan di atas dapat diringkas menjadi lima dimensi pokok yang terdiri dari </w:t>
      </w:r>
      <w:r w:rsidRPr="00ED68E6">
        <w:rPr>
          <w:rFonts w:ascii="Century Gothic" w:hAnsi="Century Gothic"/>
          <w:i/>
          <w:sz w:val="20"/>
          <w:szCs w:val="20"/>
          <w:lang w:val="id-ID"/>
        </w:rPr>
        <w:t>reliability, responsiveness, assurance</w:t>
      </w:r>
      <w:r w:rsidRPr="00ED68E6">
        <w:rPr>
          <w:rFonts w:ascii="Century Gothic" w:hAnsi="Century Gothic"/>
          <w:sz w:val="20"/>
          <w:szCs w:val="20"/>
          <w:lang w:val="id-ID"/>
        </w:rPr>
        <w:t xml:space="preserve"> (meliputi </w:t>
      </w:r>
      <w:r w:rsidRPr="00ED68E6">
        <w:rPr>
          <w:rFonts w:ascii="Century Gothic" w:hAnsi="Century Gothic"/>
          <w:i/>
          <w:sz w:val="20"/>
          <w:szCs w:val="20"/>
          <w:lang w:val="id-ID"/>
        </w:rPr>
        <w:t>competence, courtesy, credibility, dan security</w:t>
      </w:r>
      <w:r w:rsidRPr="00ED68E6">
        <w:rPr>
          <w:rFonts w:ascii="Century Gothic" w:hAnsi="Century Gothic"/>
          <w:sz w:val="20"/>
          <w:szCs w:val="20"/>
          <w:lang w:val="id-ID"/>
        </w:rPr>
        <w:t xml:space="preserve">), </w:t>
      </w:r>
      <w:r w:rsidRPr="00ED68E6">
        <w:rPr>
          <w:rFonts w:ascii="Century Gothic" w:hAnsi="Century Gothic"/>
          <w:i/>
          <w:sz w:val="20"/>
          <w:szCs w:val="20"/>
          <w:lang w:val="id-ID"/>
        </w:rPr>
        <w:t>empathy</w:t>
      </w:r>
      <w:r w:rsidRPr="00ED68E6">
        <w:rPr>
          <w:rFonts w:ascii="Century Gothic" w:hAnsi="Century Gothic"/>
          <w:sz w:val="20"/>
          <w:szCs w:val="20"/>
          <w:lang w:val="id-ID"/>
        </w:rPr>
        <w:t xml:space="preserve"> (meliputi </w:t>
      </w:r>
      <w:r w:rsidRPr="00ED68E6">
        <w:rPr>
          <w:rFonts w:ascii="Century Gothic" w:hAnsi="Century Gothic"/>
          <w:i/>
          <w:sz w:val="20"/>
          <w:szCs w:val="20"/>
          <w:lang w:val="id-ID"/>
        </w:rPr>
        <w:t>access, communication</w:t>
      </w:r>
      <w:r w:rsidRPr="00ED68E6">
        <w:rPr>
          <w:rFonts w:ascii="Century Gothic" w:hAnsi="Century Gothic"/>
          <w:sz w:val="20"/>
          <w:szCs w:val="20"/>
          <w:lang w:val="id-ID"/>
        </w:rPr>
        <w:t xml:space="preserve"> dan </w:t>
      </w:r>
      <w:r w:rsidRPr="00ED68E6">
        <w:rPr>
          <w:rFonts w:ascii="Century Gothic" w:hAnsi="Century Gothic"/>
          <w:i/>
          <w:sz w:val="20"/>
          <w:szCs w:val="20"/>
          <w:lang w:val="id-ID"/>
        </w:rPr>
        <w:t>understanding the customer</w:t>
      </w:r>
      <w:r w:rsidRPr="00ED68E6">
        <w:rPr>
          <w:rFonts w:ascii="Century Gothic" w:hAnsi="Century Gothic"/>
          <w:sz w:val="20"/>
          <w:szCs w:val="20"/>
          <w:lang w:val="id-ID"/>
        </w:rPr>
        <w:t xml:space="preserve">), serta </w:t>
      </w:r>
      <w:r w:rsidRPr="00ED68E6">
        <w:rPr>
          <w:rFonts w:ascii="Century Gothic" w:hAnsi="Century Gothic"/>
          <w:i/>
          <w:sz w:val="20"/>
          <w:szCs w:val="20"/>
          <w:lang w:val="id-ID"/>
        </w:rPr>
        <w:t>tangible</w:t>
      </w:r>
      <w:r w:rsidRPr="00ED68E6">
        <w:rPr>
          <w:rFonts w:ascii="Century Gothic" w:hAnsi="Century Gothic"/>
          <w:sz w:val="20"/>
          <w:szCs w:val="20"/>
          <w:lang w:val="id-ID"/>
        </w:rPr>
        <w:t xml:space="preserve">. </w:t>
      </w:r>
    </w:p>
    <w:p w14:paraId="4CAD0102" w14:textId="77777777" w:rsidR="0014336E" w:rsidRPr="00ED68E6" w:rsidRDefault="0014336E" w:rsidP="00CE75E4">
      <w:pPr>
        <w:jc w:val="both"/>
        <w:rPr>
          <w:rFonts w:ascii="Century Gothic" w:hAnsi="Century Gothic"/>
          <w:sz w:val="20"/>
          <w:szCs w:val="20"/>
          <w:lang w:val="id-ID"/>
        </w:rPr>
      </w:pPr>
    </w:p>
    <w:p w14:paraId="03BF660D" w14:textId="28E74E21" w:rsidR="00CE75E4" w:rsidRPr="00ED68E6" w:rsidRDefault="00CE75E4" w:rsidP="00CE75E4">
      <w:pPr>
        <w:jc w:val="both"/>
        <w:rPr>
          <w:rFonts w:ascii="Century Gothic" w:hAnsi="Century Gothic"/>
          <w:sz w:val="20"/>
          <w:szCs w:val="20"/>
          <w:lang w:val="id-ID"/>
        </w:rPr>
      </w:pPr>
      <w:r w:rsidRPr="00ED68E6">
        <w:rPr>
          <w:rFonts w:ascii="Century Gothic" w:hAnsi="Century Gothic"/>
          <w:sz w:val="20"/>
          <w:szCs w:val="20"/>
          <w:lang w:val="id-ID"/>
        </w:rPr>
        <w:t xml:space="preserve">Selanjutnya, penjelasan kelima dimensi untuk menilai kualitas pelayanan tersebut adalah : (1) Reliability (terpercaya); kemampuan memberikan pelayanan yang dijanjikan dengan segera dan memuaskan. Pemenuhan janji pelayanan yang tepat dan memuaskan meliputi ketepatan waktu dan kecakapan dalam menanggapi keluhan pelanggan serta pemberian pelayanan secara wajar dan akurat. (2) Responsiveness (daya tanggap); yaitu sikap tanggap petugas (tenaga ahli) dalam memberikan pelayanan yang dibutuhkan dan dapat menyelesaikan dengan cepat. Kecepatan pelayanan yang diberikan merupakan sikap tanggap dari petugas dalam memberikan pelayanan yang dibutuhkan, (3) Assurance (jaminan); mencakup pengetahuan, kemampuan, kesopanan dan sifat dapat dipercaya yang dimiliki pegawai, bebas dari bahaya, risiko dan keragu-raguan. Jaminan merupakan upaya perlindungan yang disajikan untuk masyarakat bagi warganya terhadap resiko yang apabila resiko itu terjadi akan dapat mengakibatkan gangguan dalam kehidupannya (dalam konteks FTA dalam bentuk keabsahan dokumen, jaringan, dan prosedur yang sesuai aturan). (4) Empathy (empati); meliputi kemudahan berkonsultasi, komunikasi yang baik dan memahami kebutuhan penerima layanan (calon eksportir). Empati merupakan individualized attention to customer. Empati merupakan bentuk perhatian </w:t>
      </w:r>
      <w:r w:rsidRPr="00ED68E6">
        <w:rPr>
          <w:rFonts w:ascii="Century Gothic" w:hAnsi="Century Gothic"/>
          <w:sz w:val="20"/>
          <w:szCs w:val="20"/>
          <w:lang w:val="id-ID"/>
        </w:rPr>
        <w:lastRenderedPageBreak/>
        <w:t xml:space="preserve">yang dilaksanakan secara pribadi atau individu terhadap pelanggan dengan menempatkan dirinya pada situasi pelanggan. (5) Tangibles (bukti fisik); meliputi fasilitas fisik, perlengkapan, petugas dan sarana komunikasi, ruang serta kendaraan operasional. Dengan demikian bukti langsung/wujud fisik nyata dapat terlihat merupakan satu indikator yang paling konkrit. Maka kinerja pelayanan merupakan hasil kerja yang dicapai oleh petugas dalam melaksanakan tugas sesuai dengan tanggung jawabnya yang diukur berdasarkan indikator di atas. </w:t>
      </w:r>
    </w:p>
    <w:p w14:paraId="1F8A7D60" w14:textId="77777777" w:rsidR="00015EAD" w:rsidRPr="00ED68E6" w:rsidRDefault="00015EAD" w:rsidP="00CE75E4">
      <w:pPr>
        <w:jc w:val="both"/>
        <w:rPr>
          <w:rFonts w:ascii="Century Gothic" w:hAnsi="Century Gothic"/>
          <w:sz w:val="20"/>
          <w:szCs w:val="20"/>
          <w:lang w:val="id-ID"/>
        </w:rPr>
      </w:pPr>
    </w:p>
    <w:p w14:paraId="683E12A4" w14:textId="0D7012B6" w:rsidR="00CE75E4" w:rsidRPr="00ED68E6" w:rsidRDefault="00CE75E4" w:rsidP="00CE75E4">
      <w:pPr>
        <w:jc w:val="both"/>
        <w:rPr>
          <w:rFonts w:ascii="Century Gothic" w:hAnsi="Century Gothic"/>
          <w:sz w:val="20"/>
          <w:szCs w:val="20"/>
          <w:lang w:val="id-ID"/>
        </w:rPr>
      </w:pPr>
      <w:r w:rsidRPr="00ED68E6">
        <w:rPr>
          <w:rFonts w:ascii="Century Gothic" w:hAnsi="Century Gothic"/>
          <w:sz w:val="20"/>
          <w:szCs w:val="20"/>
          <w:lang w:val="id-ID"/>
        </w:rPr>
        <w:t>Dimensi kepentingan dan kepuasan layanan merujuk pada hubungan mutualistik antara pemberi dan penerima layanan. Asumsinya kepentingan dan kepuasan merupakan perbandingan antara kenyataan (das sein) pemberi jasa dengan apa yang diharapkan (das sollen) penerima pelayanan. Apabila yang dirasakan penerima layanan melebihi dari apa yang diharapkan, berarti penerima layanan telah terpenuhi kepuasannya sesuai indikator yang disepakati dengan rujukan regulasi yang ada. Artinya, kepentingan dan kepuasaan layanan merupakan refleksi antara kepentingan dan kepuasan</w:t>
      </w:r>
      <w:r w:rsidR="009D3D03" w:rsidRPr="00ED68E6">
        <w:rPr>
          <w:rFonts w:ascii="Century Gothic" w:hAnsi="Century Gothic"/>
          <w:sz w:val="20"/>
          <w:szCs w:val="20"/>
          <w:lang w:val="id-ID"/>
        </w:rPr>
        <w:t xml:space="preserve"> layanan yang dilakukan. K</w:t>
      </w:r>
      <w:r w:rsidRPr="00ED68E6">
        <w:rPr>
          <w:rFonts w:ascii="Century Gothic" w:hAnsi="Century Gothic"/>
          <w:sz w:val="20"/>
          <w:szCs w:val="20"/>
          <w:lang w:val="id-ID"/>
        </w:rPr>
        <w:t>epuasan akan layanan jasa yang dimaksud adalah jasa FTA Center yang meliputi edukasi-sosialisasi, jasa konsultasi, jasa advokasi, jasa pelatihan ekspor. Jika penerima layanan telah merasa puas dengan jasa FTA Center tersebut, biasanya akan melakukan pemanfaatan ulang atau merekomendasikan kepada pihak lain terhadap jasa konsultasi tersebut dikemudian hari akan lebih loyal terhadap layanan jasa sesuai dengan ketentuan layanan yang dirujuk FTA Center.</w:t>
      </w:r>
    </w:p>
    <w:p w14:paraId="2567364E" w14:textId="350FA18F" w:rsidR="00CE75E4" w:rsidRPr="00ED68E6" w:rsidRDefault="00CE75E4" w:rsidP="009D3D03">
      <w:pPr>
        <w:pStyle w:val="Heading2"/>
        <w:rPr>
          <w:rFonts w:ascii="Century Gothic" w:hAnsi="Century Gothic"/>
          <w:sz w:val="20"/>
          <w:szCs w:val="20"/>
          <w:lang w:val="id-ID"/>
        </w:rPr>
      </w:pPr>
      <w:r w:rsidRPr="00ED68E6">
        <w:rPr>
          <w:rFonts w:ascii="Century Gothic" w:hAnsi="Century Gothic"/>
          <w:sz w:val="20"/>
          <w:szCs w:val="20"/>
          <w:lang w:val="id-ID"/>
        </w:rPr>
        <w:t>Model tingkat kepentingan dan kinerja (Importance-Performance)</w:t>
      </w:r>
    </w:p>
    <w:p w14:paraId="039B136D" w14:textId="6F53B9D5" w:rsidR="00CE75E4" w:rsidRPr="00ED68E6" w:rsidRDefault="00CE75E4" w:rsidP="00CE75E4">
      <w:pPr>
        <w:jc w:val="both"/>
        <w:rPr>
          <w:rFonts w:ascii="Century Gothic" w:hAnsi="Century Gothic"/>
          <w:sz w:val="20"/>
          <w:szCs w:val="20"/>
          <w:lang w:val="id-ID"/>
        </w:rPr>
      </w:pPr>
      <w:r w:rsidRPr="00ED68E6">
        <w:rPr>
          <w:rFonts w:ascii="Century Gothic" w:hAnsi="Century Gothic"/>
          <w:sz w:val="20"/>
          <w:szCs w:val="20"/>
          <w:lang w:val="id-ID"/>
        </w:rPr>
        <w:t>Merujuk amanat Peraturan Presiden Nomor 79 Tahun 2017 tentang Rencana Kerja Pemerintah Tahun 2018, Kement</w:t>
      </w:r>
      <w:r w:rsidR="009D3D03" w:rsidRPr="00ED68E6">
        <w:rPr>
          <w:rFonts w:ascii="Century Gothic" w:hAnsi="Century Gothic"/>
          <w:sz w:val="20"/>
          <w:szCs w:val="20"/>
          <w:lang w:val="id-ID"/>
        </w:rPr>
        <w:t>e</w:t>
      </w:r>
      <w:r w:rsidRPr="00ED68E6">
        <w:rPr>
          <w:rFonts w:ascii="Century Gothic" w:hAnsi="Century Gothic"/>
          <w:sz w:val="20"/>
          <w:szCs w:val="20"/>
          <w:lang w:val="id-ID"/>
        </w:rPr>
        <w:t xml:space="preserve">rian Perdagangan telah membentuk FTA center yang diinisiasi bersama antara pemerintah, universitas dan pelaku usaha. Berdasarkan hal tersebut model tingkat kepentingan dan kinerja mendasarkan dua aspek, yakni aspek regulasi dan aspek dinamika kebutuhan layanan dan penerima layanan </w:t>
      </w:r>
      <w:r w:rsidRPr="00ED68E6">
        <w:rPr>
          <w:rFonts w:ascii="Century Gothic" w:hAnsi="Century Gothic"/>
          <w:sz w:val="20"/>
          <w:szCs w:val="20"/>
          <w:lang w:val="id-ID"/>
        </w:rPr>
        <w:t xml:space="preserve">(konsumen/pelanggan FTA Center) yang beragam karakter usahanya. Dalam implementasinya dinamika pelayanan FTA Center menghadapi berbagai permintaan layanan dari substantif sampai dengan teknis dari pelaku usaha maupun masyarakat luas yang antusias berkonsultasi untuk membuat dokumen persiapan sampai melakukan ekspor. Dinamika lapangan tersebut menuntut FTA Center melakukan berbagai perubahan dan adaptasi. Merespons hal tersebut model tingkat kepentingan berdasarkan pelayanan tak lagi bersifat statis akan tetapi bersifat dinamis. Sehubungan dengan sifat dinamis tersebut maka kegiatan FTA Center dalam memberikan layanan konsultasi, edukasi kepada masyarakat wajib menunjukkan fleksibilitas mengikuti kondisi konsumen/pelanggan. Mengingat tidak semua konsumen/pelanggan mempunyai tingkat kesiapan ekspor yang sama. Maka dilakukan modifikasi layanan dengan tidak mengurangi aspek substantif layanan. Di samping itu, tetap wajib melakukan pengawasan dan evaluasi layanan yang sudah, sedang dan akan dilakukan merujuk pada kaidah-kaidah kualitas dan kualitas layanan. Meskipun tidak bisa disangkal jika dalam praktiknya kesenjangan pelayanan juga terjadi. </w:t>
      </w:r>
    </w:p>
    <w:p w14:paraId="3FB2BD7E" w14:textId="01A6337A" w:rsidR="00CE75E4" w:rsidRPr="00ED68E6" w:rsidRDefault="00CE75E4" w:rsidP="00CE75E4">
      <w:pPr>
        <w:jc w:val="both"/>
        <w:rPr>
          <w:rFonts w:ascii="Century Gothic" w:hAnsi="Century Gothic"/>
          <w:sz w:val="20"/>
          <w:szCs w:val="20"/>
          <w:lang w:val="id-ID"/>
        </w:rPr>
      </w:pPr>
    </w:p>
    <w:p w14:paraId="32433B04" w14:textId="77777777" w:rsidR="00F12A23" w:rsidRPr="00ED68E6" w:rsidRDefault="009D3D03" w:rsidP="00F12A23">
      <w:pPr>
        <w:keepNext/>
        <w:jc w:val="both"/>
        <w:rPr>
          <w:lang w:val="id-ID"/>
        </w:rPr>
      </w:pPr>
      <w:r w:rsidRPr="00ED68E6">
        <w:rPr>
          <w:noProof/>
          <w:color w:val="000000" w:themeColor="text1"/>
          <w:lang w:val="id-ID"/>
        </w:rPr>
        <w:drawing>
          <wp:inline distT="0" distB="0" distL="0" distR="0" wp14:anchorId="59C7BBF8" wp14:editId="1BFB645D">
            <wp:extent cx="2915285" cy="2283471"/>
            <wp:effectExtent l="0" t="0" r="0" b="254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2269" t="15954" r="21006" b="5062"/>
                    <a:stretch/>
                  </pic:blipFill>
                  <pic:spPr bwMode="auto">
                    <a:xfrm>
                      <a:off x="0" y="0"/>
                      <a:ext cx="2915285" cy="2283471"/>
                    </a:xfrm>
                    <a:prstGeom prst="rect">
                      <a:avLst/>
                    </a:prstGeom>
                    <a:ln>
                      <a:noFill/>
                    </a:ln>
                    <a:extLst>
                      <a:ext uri="{53640926-AAD7-44D8-BBD7-CCE9431645EC}">
                        <a14:shadowObscured xmlns:a14="http://schemas.microsoft.com/office/drawing/2010/main"/>
                      </a:ext>
                    </a:extLst>
                  </pic:spPr>
                </pic:pic>
              </a:graphicData>
            </a:graphic>
          </wp:inline>
        </w:drawing>
      </w:r>
    </w:p>
    <w:p w14:paraId="2FD48B61" w14:textId="36289C2A" w:rsidR="007F2956" w:rsidRPr="00ED68E6" w:rsidRDefault="00AE0872" w:rsidP="007F2956">
      <w:pPr>
        <w:spacing w:after="120"/>
        <w:ind w:firstLine="720"/>
        <w:jc w:val="both"/>
        <w:rPr>
          <w:rFonts w:ascii="Century Gothic" w:hAnsi="Century Gothic"/>
          <w:sz w:val="16"/>
          <w:szCs w:val="16"/>
          <w:lang w:val="id-ID"/>
        </w:rPr>
      </w:pPr>
      <w:r w:rsidRPr="00ED68E6">
        <w:rPr>
          <w:rFonts w:ascii="Century Gothic" w:hAnsi="Century Gothic"/>
          <w:sz w:val="16"/>
          <w:szCs w:val="16"/>
          <w:lang w:val="id-ID"/>
        </w:rPr>
        <w:t xml:space="preserve">Sumber: diadaptasi dari </w:t>
      </w:r>
      <w:sdt>
        <w:sdtPr>
          <w:rPr>
            <w:rFonts w:ascii="Century Gothic" w:hAnsi="Century Gothic"/>
            <w:sz w:val="16"/>
            <w:szCs w:val="16"/>
            <w:lang w:val="id-ID"/>
          </w:rPr>
          <w:id w:val="-1320652577"/>
          <w:citation/>
        </w:sdtPr>
        <w:sdtEndPr/>
        <w:sdtContent>
          <w:r w:rsidRPr="00ED68E6">
            <w:rPr>
              <w:rFonts w:ascii="Century Gothic" w:hAnsi="Century Gothic"/>
              <w:sz w:val="16"/>
              <w:szCs w:val="16"/>
              <w:lang w:val="id-ID"/>
            </w:rPr>
            <w:fldChar w:fldCharType="begin"/>
          </w:r>
          <w:r w:rsidRPr="00ED68E6">
            <w:rPr>
              <w:rFonts w:ascii="Century Gothic" w:hAnsi="Century Gothic"/>
              <w:sz w:val="16"/>
              <w:szCs w:val="16"/>
              <w:lang w:val="id-ID"/>
            </w:rPr>
            <w:instrText xml:space="preserve">CITATION Mar77 \l 1033 </w:instrText>
          </w:r>
          <w:r w:rsidRPr="00ED68E6">
            <w:rPr>
              <w:rFonts w:ascii="Century Gothic" w:hAnsi="Century Gothic"/>
              <w:sz w:val="16"/>
              <w:szCs w:val="16"/>
              <w:lang w:val="id-ID"/>
            </w:rPr>
            <w:fldChar w:fldCharType="separate"/>
          </w:r>
          <w:r w:rsidR="007F2956" w:rsidRPr="00ED68E6">
            <w:rPr>
              <w:rFonts w:ascii="Century Gothic" w:hAnsi="Century Gothic"/>
              <w:noProof/>
              <w:sz w:val="16"/>
              <w:szCs w:val="16"/>
              <w:lang w:val="id-ID"/>
            </w:rPr>
            <w:t>(Martilla &amp; James, 1977)</w:t>
          </w:r>
          <w:r w:rsidRPr="00ED68E6">
            <w:rPr>
              <w:rFonts w:ascii="Century Gothic" w:hAnsi="Century Gothic"/>
              <w:sz w:val="16"/>
              <w:szCs w:val="16"/>
              <w:lang w:val="id-ID"/>
            </w:rPr>
            <w:fldChar w:fldCharType="end"/>
          </w:r>
        </w:sdtContent>
      </w:sdt>
      <w:r w:rsidRPr="00ED68E6">
        <w:rPr>
          <w:rFonts w:ascii="Century Gothic" w:hAnsi="Century Gothic"/>
          <w:sz w:val="16"/>
          <w:szCs w:val="16"/>
          <w:lang w:val="id-ID"/>
        </w:rPr>
        <w:t xml:space="preserve"> dan </w:t>
      </w:r>
      <w:sdt>
        <w:sdtPr>
          <w:rPr>
            <w:rFonts w:ascii="Century Gothic" w:hAnsi="Century Gothic"/>
            <w:sz w:val="16"/>
            <w:szCs w:val="16"/>
            <w:lang w:val="id-ID"/>
          </w:rPr>
          <w:id w:val="2128575648"/>
          <w:citation/>
        </w:sdtPr>
        <w:sdtEndPr/>
        <w:sdtContent>
          <w:r w:rsidR="007F2956" w:rsidRPr="00ED68E6">
            <w:rPr>
              <w:rFonts w:ascii="Century Gothic" w:hAnsi="Century Gothic"/>
              <w:sz w:val="16"/>
              <w:szCs w:val="16"/>
              <w:lang w:val="id-ID"/>
            </w:rPr>
            <w:fldChar w:fldCharType="begin"/>
          </w:r>
          <w:r w:rsidR="007D56E4">
            <w:rPr>
              <w:rFonts w:ascii="Century Gothic" w:hAnsi="Century Gothic"/>
              <w:sz w:val="16"/>
              <w:szCs w:val="16"/>
              <w:lang w:val="id-ID"/>
            </w:rPr>
            <w:instrText xml:space="preserve">CITATION Kot03 \l 1033 </w:instrText>
          </w:r>
          <w:r w:rsidR="007F2956" w:rsidRPr="00ED68E6">
            <w:rPr>
              <w:rFonts w:ascii="Century Gothic" w:hAnsi="Century Gothic"/>
              <w:sz w:val="16"/>
              <w:szCs w:val="16"/>
              <w:lang w:val="id-ID"/>
            </w:rPr>
            <w:fldChar w:fldCharType="separate"/>
          </w:r>
          <w:r w:rsidR="007D56E4" w:rsidRPr="007D56E4">
            <w:rPr>
              <w:rFonts w:ascii="Century Gothic" w:hAnsi="Century Gothic"/>
              <w:noProof/>
              <w:sz w:val="16"/>
              <w:szCs w:val="16"/>
              <w:lang w:val="id-ID"/>
            </w:rPr>
            <w:t>(Kotler, 2016)</w:t>
          </w:r>
          <w:r w:rsidR="007F2956" w:rsidRPr="00ED68E6">
            <w:rPr>
              <w:rFonts w:ascii="Century Gothic" w:hAnsi="Century Gothic"/>
              <w:sz w:val="16"/>
              <w:szCs w:val="16"/>
              <w:lang w:val="id-ID"/>
            </w:rPr>
            <w:fldChar w:fldCharType="end"/>
          </w:r>
        </w:sdtContent>
      </w:sdt>
    </w:p>
    <w:p w14:paraId="105833C6" w14:textId="4B38F4A7" w:rsidR="009D3D03" w:rsidRPr="00ED68E6" w:rsidRDefault="00F12A23" w:rsidP="00522D17">
      <w:pPr>
        <w:pStyle w:val="Caption"/>
        <w:rPr>
          <w:rFonts w:ascii="Century Gothic" w:hAnsi="Century Gothic"/>
          <w:b/>
          <w:i w:val="0"/>
          <w:color w:val="auto"/>
          <w:sz w:val="20"/>
          <w:szCs w:val="20"/>
          <w:lang w:val="id-ID"/>
        </w:rPr>
      </w:pPr>
      <w:r w:rsidRPr="00ED68E6">
        <w:rPr>
          <w:rFonts w:ascii="Century Gothic" w:hAnsi="Century Gothic"/>
          <w:b/>
          <w:i w:val="0"/>
          <w:color w:val="auto"/>
          <w:sz w:val="20"/>
          <w:szCs w:val="20"/>
          <w:lang w:val="id-ID"/>
        </w:rPr>
        <w:t xml:space="preserve">Gambar </w:t>
      </w:r>
      <w:r w:rsidR="00B90E75" w:rsidRPr="00ED68E6">
        <w:rPr>
          <w:rFonts w:ascii="Century Gothic" w:hAnsi="Century Gothic"/>
          <w:b/>
          <w:i w:val="0"/>
          <w:color w:val="auto"/>
          <w:sz w:val="20"/>
          <w:szCs w:val="20"/>
          <w:lang w:val="id-ID"/>
        </w:rPr>
        <w:t>1</w:t>
      </w:r>
      <w:r w:rsidRPr="00ED68E6">
        <w:rPr>
          <w:rFonts w:ascii="Century Gothic" w:hAnsi="Century Gothic"/>
          <w:b/>
          <w:i w:val="0"/>
          <w:color w:val="auto"/>
          <w:sz w:val="20"/>
          <w:szCs w:val="20"/>
          <w:lang w:val="id-ID"/>
        </w:rPr>
        <w:t>. Model Analisis Kepentingan-Performansi</w:t>
      </w:r>
    </w:p>
    <w:p w14:paraId="1A9A4066" w14:textId="76111928" w:rsidR="00CE75E4" w:rsidRPr="00ED68E6" w:rsidRDefault="00CE75E4" w:rsidP="00CE75E4">
      <w:pPr>
        <w:jc w:val="both"/>
        <w:rPr>
          <w:rFonts w:ascii="Century Gothic" w:hAnsi="Century Gothic"/>
          <w:sz w:val="20"/>
          <w:szCs w:val="20"/>
          <w:lang w:val="id-ID"/>
        </w:rPr>
      </w:pPr>
      <w:r w:rsidRPr="00ED68E6">
        <w:rPr>
          <w:rFonts w:ascii="Century Gothic" w:hAnsi="Century Gothic"/>
          <w:sz w:val="20"/>
          <w:szCs w:val="20"/>
          <w:lang w:val="id-ID"/>
        </w:rPr>
        <w:t xml:space="preserve">Gambar di atas menjelaskan empat kuadran analisis yang terdiri dari kuadran A. mulai </w:t>
      </w:r>
      <w:r w:rsidRPr="00ED68E6">
        <w:rPr>
          <w:rFonts w:ascii="Century Gothic" w:hAnsi="Century Gothic"/>
          <w:sz w:val="20"/>
          <w:szCs w:val="20"/>
          <w:lang w:val="id-ID"/>
        </w:rPr>
        <w:lastRenderedPageBreak/>
        <w:t>konsentrasi, B. bekerja dengan baik, C. Prioritas rendah, dan D. menjadi berlebihan. Masing-masing kuadran dihasilkan dari pertemuan dua kutub kepentingan dan performansi yang mempunyai indikasi tinggi dan rendah. Kuadran A, merupakan pertemuan antara kutub kepentingan yang tinggi dengan performansi yang rendah, kondisi ini menunjukkan bahwa pelaku layanan mulai berkonsentrasi, hal ini terlihat ketika performansi tidak dalam kondisi maksimal. Kuadran B, merupakan kuadran ideal ketika kepentingan dan performansi menunjukkan indikasi yang tinggi. Meskipun untuk menuju ke arah kuadran ini tidak mudah dilakukan. Bisa jadi dalam implementasinya arah layanan mengarah pada kuadran A, C, dan D yang justru menunjukkan belum terlihat perkembangannya. Kuadran C, merupakan titik pertemuan antara kepentingan rendah dengan performansi yang tinggi. Kuadran ini menjelaskan performansi tinggi akan tetapi mempunyai tingkat kepentingan yang rendah akan menghasilkan kinerja layanan yang berlebihan (melakukan hal-hal yang tidak perlu dilakukan dalam sebuah layanan). Sedangkan Kuadran D, merupakan kuadran prioritas rendah, yakni pertemuan antara tingkat kepentingan yang rendah dengan performansi yang rendah pula, kuadran ini juga menunjukkan etos yang rendah dalam sebuah layanan. Dalam konteks prioritas rendah tersebut layanan perlu ditinjau kembali mulai dari awal konsep sampai dengan implementasi.</w:t>
      </w:r>
    </w:p>
    <w:p w14:paraId="31A4F40D" w14:textId="77777777" w:rsidR="00F12A23" w:rsidRPr="00ED68E6" w:rsidRDefault="00F12A23" w:rsidP="00CE75E4">
      <w:pPr>
        <w:jc w:val="both"/>
        <w:rPr>
          <w:rFonts w:ascii="Century Gothic" w:hAnsi="Century Gothic"/>
          <w:sz w:val="20"/>
          <w:szCs w:val="20"/>
          <w:lang w:val="id-ID"/>
        </w:rPr>
      </w:pPr>
    </w:p>
    <w:p w14:paraId="2AA55ABA" w14:textId="6A1023B4" w:rsidR="00CE75E4" w:rsidRPr="00ED68E6" w:rsidRDefault="00CE75E4" w:rsidP="00CE75E4">
      <w:pPr>
        <w:jc w:val="both"/>
        <w:rPr>
          <w:rFonts w:ascii="Century Gothic" w:hAnsi="Century Gothic"/>
          <w:sz w:val="20"/>
          <w:szCs w:val="20"/>
          <w:lang w:val="id-ID"/>
        </w:rPr>
      </w:pPr>
      <w:r w:rsidRPr="00ED68E6">
        <w:rPr>
          <w:rFonts w:ascii="Century Gothic" w:hAnsi="Century Gothic"/>
          <w:sz w:val="20"/>
          <w:szCs w:val="20"/>
          <w:lang w:val="id-ID"/>
        </w:rPr>
        <w:t>Selanjutnya, Leonard L. Berry, A. Parasurama</w:t>
      </w:r>
      <w:r w:rsidR="007F2956" w:rsidRPr="00ED68E6">
        <w:rPr>
          <w:rFonts w:ascii="Century Gothic" w:hAnsi="Century Gothic"/>
          <w:sz w:val="20"/>
          <w:szCs w:val="20"/>
          <w:lang w:val="id-ID"/>
        </w:rPr>
        <w:t xml:space="preserve">n dan Valarie Z. Zeithaml </w:t>
      </w:r>
      <w:sdt>
        <w:sdtPr>
          <w:rPr>
            <w:rFonts w:ascii="Century Gothic" w:hAnsi="Century Gothic"/>
            <w:sz w:val="20"/>
            <w:szCs w:val="20"/>
            <w:lang w:val="id-ID"/>
          </w:rPr>
          <w:id w:val="-1782100326"/>
          <w:citation/>
        </w:sdtPr>
        <w:sdtEndPr/>
        <w:sdtContent>
          <w:r w:rsidR="007F2956" w:rsidRPr="00ED68E6">
            <w:rPr>
              <w:rFonts w:ascii="Century Gothic" w:hAnsi="Century Gothic"/>
              <w:sz w:val="20"/>
              <w:szCs w:val="20"/>
              <w:lang w:val="id-ID"/>
            </w:rPr>
            <w:fldChar w:fldCharType="begin"/>
          </w:r>
          <w:r w:rsidR="007F2956" w:rsidRPr="00ED68E6">
            <w:rPr>
              <w:rFonts w:ascii="Century Gothic" w:hAnsi="Century Gothic"/>
              <w:sz w:val="20"/>
              <w:szCs w:val="20"/>
              <w:lang w:val="id-ID"/>
            </w:rPr>
            <w:instrText xml:space="preserve">CITATION Par88 \n  \t  \l 1033 </w:instrText>
          </w:r>
          <w:r w:rsidR="007F2956" w:rsidRPr="00ED68E6">
            <w:rPr>
              <w:rFonts w:ascii="Century Gothic" w:hAnsi="Century Gothic"/>
              <w:sz w:val="20"/>
              <w:szCs w:val="20"/>
              <w:lang w:val="id-ID"/>
            </w:rPr>
            <w:fldChar w:fldCharType="separate"/>
          </w:r>
          <w:r w:rsidR="007F2956" w:rsidRPr="00ED68E6">
            <w:rPr>
              <w:rFonts w:ascii="Century Gothic" w:hAnsi="Century Gothic"/>
              <w:noProof/>
              <w:sz w:val="20"/>
              <w:szCs w:val="20"/>
              <w:lang w:val="id-ID"/>
            </w:rPr>
            <w:t>(1988)</w:t>
          </w:r>
          <w:r w:rsidR="007F2956" w:rsidRPr="00ED68E6">
            <w:rPr>
              <w:rFonts w:ascii="Century Gothic" w:hAnsi="Century Gothic"/>
              <w:sz w:val="20"/>
              <w:szCs w:val="20"/>
              <w:lang w:val="id-ID"/>
            </w:rPr>
            <w:fldChar w:fldCharType="end"/>
          </w:r>
        </w:sdtContent>
      </w:sdt>
      <w:r w:rsidRPr="00ED68E6">
        <w:rPr>
          <w:rFonts w:ascii="Century Gothic" w:hAnsi="Century Gothic"/>
          <w:sz w:val="20"/>
          <w:szCs w:val="20"/>
          <w:lang w:val="id-ID"/>
        </w:rPr>
        <w:t xml:space="preserve"> mengidentifikasi lima kesenjangan atau gap layanan, yaitu Gap 1 merupakan gap antara harapan pelanggan dan persepsi manajemen dalam hal ini merujuk pada pelaksanaan pelayanan jasa yang telah dilakukan oleh Free Trade Agreement (FTA) Center. Gap 2 merupakan gap antara persepsi manajemen (pengelola FTA Center) terhadap harapan pelanggan dan spesifikasi kualitas jasa. Gap 3 merupakan gap antara spesifikasi kualitas jasa dan penyampaian jasa. Gap 4 merupakan gap antara penyampaian jasa dan komunikasi eksternal. Gap 5 merupakan gap antara jasa yang dirasakan dan jasa yang </w:t>
      </w:r>
      <w:r w:rsidRPr="00ED68E6">
        <w:rPr>
          <w:rFonts w:ascii="Century Gothic" w:hAnsi="Century Gothic"/>
          <w:sz w:val="20"/>
          <w:szCs w:val="20"/>
          <w:lang w:val="id-ID"/>
        </w:rPr>
        <w:t>diharapkan. Hasil analisis kesenjangan (Gap) tersebut di atas akan menentukan analisis terkait dengan pelaksanaan layanan FTA Center yang telah berjalan sejak bulan Mei tahun 2018 yang lalu. Secara visual dijelaskan dalam gambar di bawah ini.</w:t>
      </w:r>
    </w:p>
    <w:p w14:paraId="2C83E74C" w14:textId="08FF15FC" w:rsidR="00F12A23" w:rsidRPr="00ED68E6" w:rsidRDefault="009E17DA" w:rsidP="00F12A23">
      <w:pPr>
        <w:keepNext/>
        <w:jc w:val="both"/>
        <w:rPr>
          <w:lang w:val="id-ID"/>
        </w:rPr>
      </w:pPr>
      <w:r w:rsidRPr="00ED68E6">
        <w:rPr>
          <w:noProof/>
          <w:lang w:val="id-ID"/>
        </w:rPr>
        <w:drawing>
          <wp:anchor distT="0" distB="0" distL="114300" distR="114300" simplePos="0" relativeHeight="251668480" behindDoc="1" locked="0" layoutInCell="1" allowOverlap="1" wp14:anchorId="3AA2B071" wp14:editId="7F374B14">
            <wp:simplePos x="0" y="0"/>
            <wp:positionH relativeFrom="column">
              <wp:posOffset>-113030</wp:posOffset>
            </wp:positionH>
            <wp:positionV relativeFrom="paragraph">
              <wp:posOffset>635</wp:posOffset>
            </wp:positionV>
            <wp:extent cx="3103880" cy="2733675"/>
            <wp:effectExtent l="0" t="0" r="127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04389" cy="273412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E7163F" w14:textId="77777777" w:rsidR="009E17DA" w:rsidRPr="00ED68E6" w:rsidRDefault="009E17DA" w:rsidP="00F12A23">
      <w:pPr>
        <w:pStyle w:val="Caption"/>
        <w:jc w:val="both"/>
        <w:rPr>
          <w:rFonts w:ascii="Century Gothic" w:hAnsi="Century Gothic"/>
          <w:b/>
          <w:i w:val="0"/>
          <w:color w:val="auto"/>
          <w:sz w:val="20"/>
          <w:szCs w:val="20"/>
          <w:lang w:val="id-ID"/>
        </w:rPr>
      </w:pPr>
    </w:p>
    <w:p w14:paraId="761608FA" w14:textId="77777777" w:rsidR="009E17DA" w:rsidRPr="00ED68E6" w:rsidRDefault="009E17DA" w:rsidP="00F12A23">
      <w:pPr>
        <w:pStyle w:val="Caption"/>
        <w:jc w:val="both"/>
        <w:rPr>
          <w:rFonts w:ascii="Century Gothic" w:hAnsi="Century Gothic"/>
          <w:b/>
          <w:i w:val="0"/>
          <w:color w:val="auto"/>
          <w:sz w:val="20"/>
          <w:szCs w:val="20"/>
          <w:lang w:val="id-ID"/>
        </w:rPr>
      </w:pPr>
    </w:p>
    <w:p w14:paraId="21ECE389" w14:textId="77777777" w:rsidR="009E17DA" w:rsidRPr="00ED68E6" w:rsidRDefault="009E17DA" w:rsidP="00F12A23">
      <w:pPr>
        <w:pStyle w:val="Caption"/>
        <w:jc w:val="both"/>
        <w:rPr>
          <w:rFonts w:ascii="Century Gothic" w:hAnsi="Century Gothic"/>
          <w:b/>
          <w:i w:val="0"/>
          <w:color w:val="auto"/>
          <w:sz w:val="20"/>
          <w:szCs w:val="20"/>
          <w:lang w:val="id-ID"/>
        </w:rPr>
      </w:pPr>
    </w:p>
    <w:p w14:paraId="60335464" w14:textId="77777777" w:rsidR="009E17DA" w:rsidRPr="00ED68E6" w:rsidRDefault="009E17DA" w:rsidP="00F12A23">
      <w:pPr>
        <w:pStyle w:val="Caption"/>
        <w:jc w:val="both"/>
        <w:rPr>
          <w:rFonts w:ascii="Century Gothic" w:hAnsi="Century Gothic"/>
          <w:b/>
          <w:i w:val="0"/>
          <w:color w:val="auto"/>
          <w:sz w:val="20"/>
          <w:szCs w:val="20"/>
          <w:lang w:val="id-ID"/>
        </w:rPr>
      </w:pPr>
    </w:p>
    <w:p w14:paraId="28A6AC13" w14:textId="77777777" w:rsidR="009E17DA" w:rsidRPr="00ED68E6" w:rsidRDefault="009E17DA" w:rsidP="00F12A23">
      <w:pPr>
        <w:pStyle w:val="Caption"/>
        <w:jc w:val="both"/>
        <w:rPr>
          <w:rFonts w:ascii="Century Gothic" w:hAnsi="Century Gothic"/>
          <w:b/>
          <w:i w:val="0"/>
          <w:color w:val="auto"/>
          <w:sz w:val="20"/>
          <w:szCs w:val="20"/>
          <w:lang w:val="id-ID"/>
        </w:rPr>
      </w:pPr>
    </w:p>
    <w:p w14:paraId="579C5854" w14:textId="77777777" w:rsidR="009E17DA" w:rsidRPr="00ED68E6" w:rsidRDefault="009E17DA" w:rsidP="00F12A23">
      <w:pPr>
        <w:pStyle w:val="Caption"/>
        <w:jc w:val="both"/>
        <w:rPr>
          <w:rFonts w:ascii="Century Gothic" w:hAnsi="Century Gothic"/>
          <w:b/>
          <w:i w:val="0"/>
          <w:color w:val="auto"/>
          <w:sz w:val="20"/>
          <w:szCs w:val="20"/>
          <w:lang w:val="id-ID"/>
        </w:rPr>
      </w:pPr>
    </w:p>
    <w:p w14:paraId="30AAAF91" w14:textId="77777777" w:rsidR="009E17DA" w:rsidRPr="00ED68E6" w:rsidRDefault="009E17DA" w:rsidP="00F12A23">
      <w:pPr>
        <w:pStyle w:val="Caption"/>
        <w:jc w:val="both"/>
        <w:rPr>
          <w:rFonts w:ascii="Century Gothic" w:hAnsi="Century Gothic"/>
          <w:b/>
          <w:i w:val="0"/>
          <w:color w:val="auto"/>
          <w:sz w:val="20"/>
          <w:szCs w:val="20"/>
          <w:lang w:val="id-ID"/>
        </w:rPr>
      </w:pPr>
    </w:p>
    <w:p w14:paraId="4463AD99" w14:textId="77777777" w:rsidR="009E17DA" w:rsidRPr="00ED68E6" w:rsidRDefault="009E17DA" w:rsidP="00F12A23">
      <w:pPr>
        <w:pStyle w:val="Caption"/>
        <w:jc w:val="both"/>
        <w:rPr>
          <w:rFonts w:ascii="Century Gothic" w:hAnsi="Century Gothic"/>
          <w:b/>
          <w:i w:val="0"/>
          <w:color w:val="auto"/>
          <w:sz w:val="20"/>
          <w:szCs w:val="20"/>
          <w:lang w:val="id-ID"/>
        </w:rPr>
      </w:pPr>
    </w:p>
    <w:p w14:paraId="2EC4E67E" w14:textId="77777777" w:rsidR="009E17DA" w:rsidRPr="00ED68E6" w:rsidRDefault="009E17DA" w:rsidP="00F12A23">
      <w:pPr>
        <w:pStyle w:val="Caption"/>
        <w:jc w:val="both"/>
        <w:rPr>
          <w:rFonts w:ascii="Century Gothic" w:hAnsi="Century Gothic"/>
          <w:b/>
          <w:i w:val="0"/>
          <w:color w:val="auto"/>
          <w:sz w:val="20"/>
          <w:szCs w:val="20"/>
          <w:lang w:val="id-ID"/>
        </w:rPr>
      </w:pPr>
    </w:p>
    <w:p w14:paraId="7DFB722C" w14:textId="0D2A672D" w:rsidR="00F12A23" w:rsidRPr="00ED68E6" w:rsidRDefault="00F12A23" w:rsidP="00F12A23">
      <w:pPr>
        <w:pStyle w:val="Caption"/>
        <w:jc w:val="both"/>
        <w:rPr>
          <w:rFonts w:ascii="Century Gothic" w:hAnsi="Century Gothic"/>
          <w:b/>
          <w:i w:val="0"/>
          <w:color w:val="auto"/>
          <w:sz w:val="20"/>
          <w:szCs w:val="20"/>
          <w:lang w:val="id-ID"/>
        </w:rPr>
      </w:pPr>
      <w:r w:rsidRPr="00ED68E6">
        <w:rPr>
          <w:rFonts w:ascii="Century Gothic" w:hAnsi="Century Gothic"/>
          <w:b/>
          <w:i w:val="0"/>
          <w:color w:val="auto"/>
          <w:sz w:val="20"/>
          <w:szCs w:val="20"/>
          <w:lang w:val="id-ID"/>
        </w:rPr>
        <w:t>Gambar</w:t>
      </w:r>
      <w:r w:rsidR="00B90E75" w:rsidRPr="00ED68E6">
        <w:rPr>
          <w:rFonts w:ascii="Century Gothic" w:hAnsi="Century Gothic"/>
          <w:b/>
          <w:i w:val="0"/>
          <w:color w:val="auto"/>
          <w:sz w:val="20"/>
          <w:szCs w:val="20"/>
          <w:lang w:val="id-ID"/>
        </w:rPr>
        <w:t xml:space="preserve"> 2</w:t>
      </w:r>
      <w:r w:rsidRPr="00ED68E6">
        <w:rPr>
          <w:rFonts w:ascii="Century Gothic" w:hAnsi="Century Gothic"/>
          <w:b/>
          <w:i w:val="0"/>
          <w:color w:val="auto"/>
          <w:sz w:val="20"/>
          <w:szCs w:val="20"/>
          <w:lang w:val="id-ID"/>
        </w:rPr>
        <w:t>. Sumbu Kesenjangan Pelayanan</w:t>
      </w:r>
    </w:p>
    <w:p w14:paraId="67A0F50C" w14:textId="7BC9B23E" w:rsidR="00CE75E4" w:rsidRPr="00ED68E6" w:rsidRDefault="00CE75E4" w:rsidP="00CE75E4">
      <w:pPr>
        <w:jc w:val="both"/>
        <w:rPr>
          <w:rFonts w:ascii="Century Gothic" w:hAnsi="Century Gothic"/>
          <w:sz w:val="20"/>
          <w:szCs w:val="20"/>
          <w:lang w:val="id-ID"/>
        </w:rPr>
      </w:pPr>
      <w:r w:rsidRPr="00ED68E6">
        <w:rPr>
          <w:rFonts w:ascii="Century Gothic" w:hAnsi="Century Gothic"/>
          <w:sz w:val="20"/>
          <w:szCs w:val="20"/>
          <w:lang w:val="id-ID"/>
        </w:rPr>
        <w:t>Gambar di atas menunjukkan ada dua sumbu pelayanan yakni kepentingan dan kepuasan, keduanya membentuk dimensi kinerja pelayanan FTA Center, asumsinya jika kepentingan dan kepuasan bertemu dan membentuk garis di tengah (garis tebal) antara kedua sumbu tersebut maka pelayanan dalam kondisi ideal (masalah layanan makin mengecil). Sebaliknya jika sumbu bergerak (ditunjukkan dengan garis terputus merah) artinya, layanan justru menjauh dari kondisi ideal dan bergeser ke arah salah satu sumbu saja (yang akan menegaskan pilihan kuadran di atas). Kondisi tersebut justru menunjukkan bahwa pelayanan jauh dari kata ideal dan hanya mengarah ke satu sumbu saja (muncul masalah layanan).</w:t>
      </w:r>
    </w:p>
    <w:p w14:paraId="0DDC4C0F" w14:textId="77777777" w:rsidR="00F12A23" w:rsidRPr="00ED68E6" w:rsidRDefault="00F12A23" w:rsidP="00F12A23">
      <w:pPr>
        <w:pStyle w:val="Heading2"/>
        <w:rPr>
          <w:rFonts w:ascii="Century Gothic" w:hAnsi="Century Gothic"/>
          <w:sz w:val="20"/>
          <w:szCs w:val="20"/>
          <w:lang w:val="id-ID"/>
        </w:rPr>
      </w:pPr>
      <w:r w:rsidRPr="00ED68E6">
        <w:rPr>
          <w:rFonts w:ascii="Century Gothic" w:hAnsi="Century Gothic"/>
          <w:sz w:val="20"/>
          <w:szCs w:val="20"/>
          <w:lang w:val="id-ID"/>
        </w:rPr>
        <w:t>Definisi Operasional dan Pengukuran</w:t>
      </w:r>
    </w:p>
    <w:p w14:paraId="5A566477" w14:textId="77777777" w:rsidR="00F12A23" w:rsidRPr="00ED68E6" w:rsidRDefault="00F12A23" w:rsidP="00F12A23">
      <w:pPr>
        <w:jc w:val="both"/>
        <w:rPr>
          <w:rFonts w:ascii="Century Gothic" w:hAnsi="Century Gothic"/>
          <w:sz w:val="20"/>
          <w:szCs w:val="20"/>
          <w:lang w:val="id-ID"/>
        </w:rPr>
      </w:pPr>
      <w:r w:rsidRPr="00ED68E6">
        <w:rPr>
          <w:rFonts w:ascii="Century Gothic" w:hAnsi="Century Gothic"/>
          <w:sz w:val="20"/>
          <w:szCs w:val="20"/>
          <w:lang w:val="id-ID"/>
        </w:rPr>
        <w:t xml:space="preserve">Definisi operasional kajian ini merujuk pada Peraturan Presiden Nomor 79 Tahun 2017 tentang Rencana Kerja Pemerintah Tahun 2018. FTA Center dijalankan melalui kerja sama swakelola antara Direktorat Jenderal Perundingan Perdagangan Internasional Kementerian Perdagangan dan beberapa </w:t>
      </w:r>
      <w:r w:rsidRPr="00ED68E6">
        <w:rPr>
          <w:rFonts w:ascii="Century Gothic" w:hAnsi="Century Gothic"/>
          <w:sz w:val="20"/>
          <w:szCs w:val="20"/>
          <w:lang w:val="id-ID"/>
        </w:rPr>
        <w:lastRenderedPageBreak/>
        <w:t>universitas negeri, baik di Jakarta maupun di daerah. FTA Center juga melibatkan dinas perindustrian dan perdagangan tingkat provinsi. Sebagai unit pelayanan Kemendag RI untuk merespons berbagai kesepakatan global tentang Free Trade Agreement (FTA). Secara umum FTA Center merupakan bagian dari tujuan peningkatan dan pemanfaatan akses pasar serta efektivitas promosi. Sebagai ujung tombak pelayanan dan sekaligus lembaga promosi ekspor FTA Center menjadi bagian dari agenda pemerintah untuk:</w:t>
      </w:r>
    </w:p>
    <w:p w14:paraId="19B942CE" w14:textId="77777777" w:rsidR="00F12A23" w:rsidRPr="00ED68E6" w:rsidRDefault="00F12A23" w:rsidP="00F12A23">
      <w:pPr>
        <w:pStyle w:val="ListParagraph"/>
        <w:numPr>
          <w:ilvl w:val="0"/>
          <w:numId w:val="6"/>
        </w:numPr>
        <w:ind w:left="426"/>
        <w:rPr>
          <w:rFonts w:ascii="Century Gothic" w:hAnsi="Century Gothic"/>
          <w:sz w:val="20"/>
          <w:szCs w:val="20"/>
          <w:lang w:val="id-ID"/>
        </w:rPr>
      </w:pPr>
      <w:r w:rsidRPr="00ED68E6">
        <w:rPr>
          <w:rFonts w:ascii="Century Gothic" w:hAnsi="Century Gothic"/>
          <w:sz w:val="20"/>
          <w:szCs w:val="20"/>
          <w:lang w:val="id-ID"/>
        </w:rPr>
        <w:t xml:space="preserve">melakukan penurunan hambatan tarif dan non tarif di negara tujuan ekspor </w:t>
      </w:r>
    </w:p>
    <w:p w14:paraId="317562F8" w14:textId="77777777" w:rsidR="00F12A23" w:rsidRPr="00ED68E6" w:rsidRDefault="00F12A23" w:rsidP="00F12A23">
      <w:pPr>
        <w:pStyle w:val="ListParagraph"/>
        <w:numPr>
          <w:ilvl w:val="0"/>
          <w:numId w:val="6"/>
        </w:numPr>
        <w:ind w:left="426"/>
        <w:rPr>
          <w:rFonts w:ascii="Century Gothic" w:hAnsi="Century Gothic"/>
          <w:sz w:val="20"/>
          <w:szCs w:val="20"/>
          <w:lang w:val="id-ID"/>
        </w:rPr>
      </w:pPr>
      <w:r w:rsidRPr="00ED68E6">
        <w:rPr>
          <w:rFonts w:ascii="Century Gothic" w:hAnsi="Century Gothic"/>
          <w:sz w:val="20"/>
          <w:szCs w:val="20"/>
          <w:lang w:val="id-ID"/>
        </w:rPr>
        <w:t>pengembangan citra produk Indonesia (</w:t>
      </w:r>
      <w:r w:rsidRPr="00ED68E6">
        <w:rPr>
          <w:rFonts w:ascii="Century Gothic" w:hAnsi="Century Gothic"/>
          <w:i/>
          <w:sz w:val="20"/>
          <w:szCs w:val="20"/>
          <w:lang w:val="id-ID"/>
        </w:rPr>
        <w:t>nation branding</w:t>
      </w:r>
      <w:r w:rsidRPr="00ED68E6">
        <w:rPr>
          <w:rFonts w:ascii="Century Gothic" w:hAnsi="Century Gothic"/>
          <w:sz w:val="20"/>
          <w:szCs w:val="20"/>
          <w:lang w:val="id-ID"/>
        </w:rPr>
        <w:t xml:space="preserve">). </w:t>
      </w:r>
    </w:p>
    <w:p w14:paraId="5C1E09EA" w14:textId="77777777" w:rsidR="00F12A23" w:rsidRPr="00ED68E6" w:rsidRDefault="00F12A23" w:rsidP="00F12A23">
      <w:pPr>
        <w:pStyle w:val="ListParagraph"/>
        <w:numPr>
          <w:ilvl w:val="0"/>
          <w:numId w:val="6"/>
        </w:numPr>
        <w:ind w:left="426"/>
        <w:rPr>
          <w:rFonts w:ascii="Century Gothic" w:hAnsi="Century Gothic"/>
          <w:sz w:val="20"/>
          <w:szCs w:val="20"/>
          <w:lang w:val="id-ID"/>
        </w:rPr>
      </w:pPr>
      <w:r w:rsidRPr="00ED68E6">
        <w:rPr>
          <w:rFonts w:ascii="Century Gothic" w:hAnsi="Century Gothic"/>
          <w:sz w:val="20"/>
          <w:szCs w:val="20"/>
          <w:lang w:val="id-ID"/>
        </w:rPr>
        <w:t>tersedianya informasi dan analisa pasar ekspor (</w:t>
      </w:r>
      <w:r w:rsidRPr="00ED68E6">
        <w:rPr>
          <w:rFonts w:ascii="Century Gothic" w:hAnsi="Century Gothic"/>
          <w:i/>
          <w:sz w:val="20"/>
          <w:szCs w:val="20"/>
          <w:lang w:val="id-ID"/>
        </w:rPr>
        <w:t>export helpdesk</w:t>
      </w:r>
      <w:r w:rsidRPr="00ED68E6">
        <w:rPr>
          <w:rFonts w:ascii="Century Gothic" w:hAnsi="Century Gothic"/>
          <w:sz w:val="20"/>
          <w:szCs w:val="20"/>
          <w:lang w:val="id-ID"/>
        </w:rPr>
        <w:t>)</w:t>
      </w:r>
    </w:p>
    <w:p w14:paraId="575E92D2" w14:textId="6FA14AC2" w:rsidR="00F12A23" w:rsidRPr="00ED68E6" w:rsidRDefault="00F12A23" w:rsidP="00F12A23">
      <w:pPr>
        <w:pStyle w:val="ListParagraph"/>
        <w:numPr>
          <w:ilvl w:val="0"/>
          <w:numId w:val="6"/>
        </w:numPr>
        <w:ind w:left="426"/>
        <w:rPr>
          <w:rFonts w:ascii="Century Gothic" w:hAnsi="Century Gothic"/>
          <w:sz w:val="20"/>
          <w:szCs w:val="20"/>
          <w:lang w:val="id-ID"/>
        </w:rPr>
      </w:pPr>
      <w:r w:rsidRPr="00ED68E6">
        <w:rPr>
          <w:rFonts w:ascii="Century Gothic" w:hAnsi="Century Gothic"/>
          <w:sz w:val="20"/>
          <w:szCs w:val="20"/>
          <w:lang w:val="id-ID"/>
        </w:rPr>
        <w:t xml:space="preserve">pendidikan dan pelatihan ekspor </w:t>
      </w:r>
    </w:p>
    <w:p w14:paraId="38D3AB72" w14:textId="77777777" w:rsidR="00F12A23" w:rsidRPr="00ED68E6" w:rsidRDefault="00F12A23" w:rsidP="00F12A23">
      <w:pPr>
        <w:jc w:val="both"/>
        <w:rPr>
          <w:rFonts w:ascii="Century Gothic" w:hAnsi="Century Gothic"/>
          <w:sz w:val="20"/>
          <w:szCs w:val="20"/>
          <w:lang w:val="id-ID"/>
        </w:rPr>
      </w:pPr>
    </w:p>
    <w:p w14:paraId="6325FCAD" w14:textId="548C2FA4" w:rsidR="00F12A23" w:rsidRPr="00ED68E6" w:rsidRDefault="00F12A23" w:rsidP="00F12A23">
      <w:pPr>
        <w:jc w:val="both"/>
        <w:rPr>
          <w:rFonts w:ascii="Century Gothic" w:hAnsi="Century Gothic"/>
          <w:sz w:val="20"/>
          <w:szCs w:val="20"/>
          <w:lang w:val="id-ID"/>
        </w:rPr>
      </w:pPr>
      <w:r w:rsidRPr="00ED68E6">
        <w:rPr>
          <w:rFonts w:ascii="Century Gothic" w:hAnsi="Century Gothic"/>
          <w:sz w:val="20"/>
          <w:szCs w:val="20"/>
          <w:lang w:val="id-ID"/>
        </w:rPr>
        <w:t xml:space="preserve">Merespons hal tersebut perlu dukungan dari pemangku kepentingan FTA Center termasuk masyarakat, hal ini sejalan dengan indikasi kunci keberhasilan implementasi perjanjian perdagangan bebas yakni ketika seluruh masyarakat mengetahui secara benar mengenai FTA, manfaatnya, dan cara memanfaatkannya. “Pengalaman mengajarkan bahwa sistem manajemen yang paling efektif di Indonesia adalah management by walking around”. Para Tenaga Ahli atau Konsultan FTA Center Kemendag diharapkan dapat benar-benar turun langsung ke lapangan, berdialog, dan mendengarkan suara konsumen/pelanggan, sehingga dapat mengidentifikasi permasalahan yang dihadapi para pelaku usaha seakurat dan sedetail mungkin. Selanjutnya, kajian ini menggunakan kuesioner dan </w:t>
      </w:r>
      <w:r w:rsidRPr="00ED68E6">
        <w:rPr>
          <w:rFonts w:ascii="Century Gothic" w:hAnsi="Century Gothic"/>
          <w:i/>
          <w:sz w:val="20"/>
          <w:szCs w:val="20"/>
          <w:lang w:val="id-ID"/>
        </w:rPr>
        <w:t>interview guide</w:t>
      </w:r>
      <w:r w:rsidRPr="00ED68E6">
        <w:rPr>
          <w:rFonts w:ascii="Century Gothic" w:hAnsi="Century Gothic"/>
          <w:sz w:val="20"/>
          <w:szCs w:val="20"/>
          <w:lang w:val="id-ID"/>
        </w:rPr>
        <w:t xml:space="preserve"> yang disusun secara konseptual dan merujukkan ketentuan regulasi yang ada. Kemudian diadaptasi sesuai dengan konteks Kepenting</w:t>
      </w:r>
      <w:r w:rsidR="00CC1DF9" w:rsidRPr="00ED68E6">
        <w:rPr>
          <w:rFonts w:ascii="Century Gothic" w:hAnsi="Century Gothic"/>
          <w:sz w:val="20"/>
          <w:szCs w:val="20"/>
          <w:lang w:val="id-ID"/>
        </w:rPr>
        <w:t>an dan kepuasan layanan. D</w:t>
      </w:r>
      <w:r w:rsidRPr="00ED68E6">
        <w:rPr>
          <w:rFonts w:ascii="Century Gothic" w:hAnsi="Century Gothic"/>
          <w:sz w:val="20"/>
          <w:szCs w:val="20"/>
          <w:lang w:val="id-ID"/>
        </w:rPr>
        <w:t>ua variabel kepentingan dan kepuasan layanan tersebut digunakan sebagai indikator definisi operasional, dan dilakukan pembobotan dengan memberikan skala pengukurannya. Secara detai</w:t>
      </w:r>
      <w:r w:rsidR="00CC1DF9" w:rsidRPr="00ED68E6">
        <w:rPr>
          <w:rFonts w:ascii="Century Gothic" w:hAnsi="Century Gothic"/>
          <w:sz w:val="20"/>
          <w:szCs w:val="20"/>
          <w:lang w:val="id-ID"/>
        </w:rPr>
        <w:t xml:space="preserve">l dapat dilihat dalam tabel </w:t>
      </w:r>
      <w:r w:rsidR="00796D9E" w:rsidRPr="00ED68E6">
        <w:rPr>
          <w:rFonts w:ascii="Century Gothic" w:hAnsi="Century Gothic"/>
          <w:sz w:val="20"/>
          <w:szCs w:val="20"/>
          <w:lang w:val="id-ID"/>
        </w:rPr>
        <w:t>di bawah ini.</w:t>
      </w:r>
      <w:r w:rsidR="00B90E75" w:rsidRPr="00ED68E6">
        <w:rPr>
          <w:rFonts w:ascii="Century Gothic" w:hAnsi="Century Gothic"/>
          <w:sz w:val="20"/>
          <w:szCs w:val="20"/>
          <w:lang w:val="id-ID"/>
        </w:rPr>
        <w:t xml:space="preserve"> </w:t>
      </w:r>
    </w:p>
    <w:p w14:paraId="7E26B213" w14:textId="2E1FEA7A" w:rsidR="009E17DA" w:rsidRDefault="009E17DA" w:rsidP="00F12A23">
      <w:pPr>
        <w:jc w:val="both"/>
        <w:rPr>
          <w:rFonts w:ascii="Century Gothic" w:hAnsi="Century Gothic"/>
          <w:sz w:val="20"/>
          <w:szCs w:val="20"/>
          <w:lang w:val="id-ID"/>
        </w:rPr>
      </w:pPr>
    </w:p>
    <w:p w14:paraId="197319AC" w14:textId="1067FA42" w:rsidR="004907EC" w:rsidRDefault="004907EC" w:rsidP="00F12A23">
      <w:pPr>
        <w:jc w:val="both"/>
        <w:rPr>
          <w:rFonts w:ascii="Century Gothic" w:hAnsi="Century Gothic"/>
          <w:sz w:val="20"/>
          <w:szCs w:val="20"/>
          <w:lang w:val="id-ID"/>
        </w:rPr>
      </w:pPr>
    </w:p>
    <w:p w14:paraId="7FF86926" w14:textId="27F8F834" w:rsidR="004907EC" w:rsidRDefault="004907EC" w:rsidP="00F12A23">
      <w:pPr>
        <w:jc w:val="both"/>
        <w:rPr>
          <w:rFonts w:ascii="Century Gothic" w:hAnsi="Century Gothic"/>
          <w:sz w:val="20"/>
          <w:szCs w:val="20"/>
          <w:lang w:val="id-ID"/>
        </w:rPr>
      </w:pPr>
    </w:p>
    <w:p w14:paraId="1556B085" w14:textId="77777777" w:rsidR="004907EC" w:rsidRPr="00ED68E6" w:rsidRDefault="004907EC" w:rsidP="00F12A23">
      <w:pPr>
        <w:jc w:val="both"/>
        <w:rPr>
          <w:rFonts w:ascii="Century Gothic" w:hAnsi="Century Gothic"/>
          <w:sz w:val="20"/>
          <w:szCs w:val="20"/>
          <w:lang w:val="id-ID"/>
        </w:rPr>
      </w:pPr>
    </w:p>
    <w:p w14:paraId="49E6F04D" w14:textId="1CC9F110" w:rsidR="00B90E75" w:rsidRPr="00ED68E6" w:rsidRDefault="00B90E75" w:rsidP="00F12A23">
      <w:pPr>
        <w:jc w:val="both"/>
        <w:rPr>
          <w:rFonts w:ascii="Century Gothic" w:hAnsi="Century Gothic"/>
          <w:b/>
          <w:sz w:val="20"/>
          <w:szCs w:val="20"/>
          <w:lang w:val="id-ID"/>
        </w:rPr>
      </w:pPr>
      <w:r w:rsidRPr="00ED68E6">
        <w:rPr>
          <w:rFonts w:ascii="Century Gothic" w:hAnsi="Century Gothic"/>
          <w:b/>
          <w:sz w:val="20"/>
          <w:szCs w:val="20"/>
          <w:lang w:val="id-ID"/>
        </w:rPr>
        <w:t>Tabel 1. Definisi Operasional dan Pengukuran</w:t>
      </w:r>
    </w:p>
    <w:tbl>
      <w:tblPr>
        <w:tblStyle w:val="TableGrid"/>
        <w:tblW w:w="0" w:type="auto"/>
        <w:tblLook w:val="04A0" w:firstRow="1" w:lastRow="0" w:firstColumn="1" w:lastColumn="0" w:noHBand="0" w:noVBand="1"/>
      </w:tblPr>
      <w:tblGrid>
        <w:gridCol w:w="1527"/>
        <w:gridCol w:w="1527"/>
        <w:gridCol w:w="1527"/>
      </w:tblGrid>
      <w:tr w:rsidR="00796D9E" w:rsidRPr="00ED68E6" w14:paraId="53282151" w14:textId="77777777" w:rsidTr="00796D9E">
        <w:tc>
          <w:tcPr>
            <w:tcW w:w="1527" w:type="dxa"/>
          </w:tcPr>
          <w:p w14:paraId="75169D99" w14:textId="2D2D907F" w:rsidR="00796D9E" w:rsidRPr="00ED68E6" w:rsidRDefault="00796D9E" w:rsidP="00CE75E4">
            <w:pPr>
              <w:jc w:val="both"/>
              <w:rPr>
                <w:rFonts w:ascii="Century Gothic" w:hAnsi="Century Gothic"/>
                <w:b/>
                <w:sz w:val="16"/>
                <w:szCs w:val="16"/>
                <w:lang w:val="id-ID"/>
              </w:rPr>
            </w:pPr>
            <w:r w:rsidRPr="00ED68E6">
              <w:rPr>
                <w:rFonts w:ascii="Century Gothic" w:hAnsi="Century Gothic"/>
                <w:b/>
                <w:sz w:val="16"/>
                <w:szCs w:val="16"/>
                <w:lang w:val="id-ID"/>
              </w:rPr>
              <w:t xml:space="preserve">Variabel </w:t>
            </w:r>
          </w:p>
        </w:tc>
        <w:tc>
          <w:tcPr>
            <w:tcW w:w="1527" w:type="dxa"/>
          </w:tcPr>
          <w:p w14:paraId="7FA8E94B" w14:textId="7874B82B" w:rsidR="00796D9E" w:rsidRPr="00ED68E6" w:rsidRDefault="00796D9E" w:rsidP="00CE75E4">
            <w:pPr>
              <w:jc w:val="both"/>
              <w:rPr>
                <w:rFonts w:ascii="Century Gothic" w:hAnsi="Century Gothic"/>
                <w:b/>
                <w:sz w:val="16"/>
                <w:szCs w:val="16"/>
                <w:lang w:val="id-ID"/>
              </w:rPr>
            </w:pPr>
            <w:r w:rsidRPr="00ED68E6">
              <w:rPr>
                <w:rFonts w:ascii="Century Gothic" w:hAnsi="Century Gothic"/>
                <w:b/>
                <w:sz w:val="16"/>
                <w:szCs w:val="16"/>
                <w:lang w:val="id-ID"/>
              </w:rPr>
              <w:t>Definisi Operasional</w:t>
            </w:r>
          </w:p>
        </w:tc>
        <w:tc>
          <w:tcPr>
            <w:tcW w:w="1527" w:type="dxa"/>
          </w:tcPr>
          <w:p w14:paraId="0E0AE60C" w14:textId="74311A5D" w:rsidR="00796D9E" w:rsidRPr="00ED68E6" w:rsidRDefault="00796D9E" w:rsidP="00CE75E4">
            <w:pPr>
              <w:jc w:val="both"/>
              <w:rPr>
                <w:rFonts w:ascii="Century Gothic" w:hAnsi="Century Gothic"/>
                <w:b/>
                <w:sz w:val="16"/>
                <w:szCs w:val="16"/>
                <w:lang w:val="id-ID"/>
              </w:rPr>
            </w:pPr>
            <w:r w:rsidRPr="00ED68E6">
              <w:rPr>
                <w:rFonts w:ascii="Century Gothic" w:hAnsi="Century Gothic"/>
                <w:b/>
                <w:sz w:val="16"/>
                <w:szCs w:val="16"/>
                <w:lang w:val="id-ID"/>
              </w:rPr>
              <w:t>Skala Pengukuran</w:t>
            </w:r>
          </w:p>
        </w:tc>
      </w:tr>
      <w:tr w:rsidR="00796D9E" w:rsidRPr="00ED68E6" w14:paraId="12B3705A" w14:textId="77777777" w:rsidTr="00796D9E">
        <w:tc>
          <w:tcPr>
            <w:tcW w:w="1527" w:type="dxa"/>
          </w:tcPr>
          <w:p w14:paraId="4592FACA" w14:textId="2D06B23E" w:rsidR="00796D9E" w:rsidRPr="00ED68E6" w:rsidRDefault="00796D9E" w:rsidP="00796D9E">
            <w:pPr>
              <w:rPr>
                <w:rFonts w:ascii="Century Gothic" w:hAnsi="Century Gothic"/>
                <w:sz w:val="16"/>
                <w:szCs w:val="16"/>
                <w:lang w:val="id-ID"/>
              </w:rPr>
            </w:pPr>
            <w:r w:rsidRPr="00ED68E6">
              <w:rPr>
                <w:rFonts w:ascii="Century Gothic" w:hAnsi="Century Gothic"/>
                <w:sz w:val="16"/>
                <w:szCs w:val="16"/>
                <w:lang w:val="id-ID"/>
              </w:rPr>
              <w:t xml:space="preserve">Kepentingan </w:t>
            </w:r>
          </w:p>
        </w:tc>
        <w:tc>
          <w:tcPr>
            <w:tcW w:w="1527" w:type="dxa"/>
          </w:tcPr>
          <w:p w14:paraId="32ABF379" w14:textId="7B3EC5A2" w:rsidR="00796D9E" w:rsidRPr="00ED68E6" w:rsidRDefault="00796D9E" w:rsidP="00796D9E">
            <w:pPr>
              <w:rPr>
                <w:rFonts w:ascii="Century Gothic" w:hAnsi="Century Gothic"/>
                <w:sz w:val="16"/>
                <w:szCs w:val="16"/>
                <w:lang w:val="id-ID"/>
              </w:rPr>
            </w:pPr>
            <w:r w:rsidRPr="00ED68E6">
              <w:rPr>
                <w:rFonts w:ascii="Century Gothic" w:hAnsi="Century Gothic"/>
                <w:sz w:val="16"/>
                <w:szCs w:val="16"/>
                <w:lang w:val="id-ID"/>
              </w:rPr>
              <w:t>Seberapa penting layanan bagi responden</w:t>
            </w:r>
          </w:p>
        </w:tc>
        <w:tc>
          <w:tcPr>
            <w:tcW w:w="1527" w:type="dxa"/>
          </w:tcPr>
          <w:p w14:paraId="077A0E03" w14:textId="77777777" w:rsidR="00796D9E" w:rsidRPr="00ED68E6" w:rsidRDefault="00796D9E" w:rsidP="00796D9E">
            <w:pPr>
              <w:rPr>
                <w:rFonts w:ascii="Century Gothic" w:hAnsi="Century Gothic"/>
                <w:sz w:val="16"/>
                <w:szCs w:val="16"/>
                <w:lang w:val="id-ID"/>
              </w:rPr>
            </w:pPr>
            <w:r w:rsidRPr="00ED68E6">
              <w:rPr>
                <w:rFonts w:ascii="Century Gothic" w:hAnsi="Century Gothic"/>
                <w:sz w:val="16"/>
                <w:szCs w:val="16"/>
                <w:lang w:val="id-ID"/>
              </w:rPr>
              <w:t>1= Sangat Tidak Penting</w:t>
            </w:r>
          </w:p>
          <w:p w14:paraId="70784315" w14:textId="77777777" w:rsidR="00796D9E" w:rsidRPr="00ED68E6" w:rsidRDefault="00796D9E" w:rsidP="00796D9E">
            <w:pPr>
              <w:rPr>
                <w:rFonts w:ascii="Century Gothic" w:hAnsi="Century Gothic"/>
                <w:sz w:val="16"/>
                <w:szCs w:val="16"/>
                <w:lang w:val="id-ID"/>
              </w:rPr>
            </w:pPr>
            <w:r w:rsidRPr="00ED68E6">
              <w:rPr>
                <w:rFonts w:ascii="Century Gothic" w:hAnsi="Century Gothic"/>
                <w:sz w:val="16"/>
                <w:szCs w:val="16"/>
                <w:lang w:val="id-ID"/>
              </w:rPr>
              <w:t>2= Tidak Penting</w:t>
            </w:r>
          </w:p>
          <w:p w14:paraId="50B26D18" w14:textId="77777777" w:rsidR="00796D9E" w:rsidRPr="00ED68E6" w:rsidRDefault="00796D9E" w:rsidP="00796D9E">
            <w:pPr>
              <w:rPr>
                <w:rFonts w:ascii="Century Gothic" w:hAnsi="Century Gothic"/>
                <w:sz w:val="16"/>
                <w:szCs w:val="16"/>
                <w:lang w:val="id-ID"/>
              </w:rPr>
            </w:pPr>
            <w:r w:rsidRPr="00ED68E6">
              <w:rPr>
                <w:rFonts w:ascii="Century Gothic" w:hAnsi="Century Gothic"/>
                <w:sz w:val="16"/>
                <w:szCs w:val="16"/>
                <w:lang w:val="id-ID"/>
              </w:rPr>
              <w:t>3= Netral</w:t>
            </w:r>
          </w:p>
          <w:p w14:paraId="68102448" w14:textId="77777777" w:rsidR="00796D9E" w:rsidRPr="00ED68E6" w:rsidRDefault="00796D9E" w:rsidP="00796D9E">
            <w:pPr>
              <w:rPr>
                <w:rFonts w:ascii="Century Gothic" w:hAnsi="Century Gothic"/>
                <w:sz w:val="16"/>
                <w:szCs w:val="16"/>
                <w:lang w:val="id-ID"/>
              </w:rPr>
            </w:pPr>
            <w:r w:rsidRPr="00ED68E6">
              <w:rPr>
                <w:rFonts w:ascii="Century Gothic" w:hAnsi="Century Gothic"/>
                <w:sz w:val="16"/>
                <w:szCs w:val="16"/>
                <w:lang w:val="id-ID"/>
              </w:rPr>
              <w:t>4= Penting</w:t>
            </w:r>
          </w:p>
          <w:p w14:paraId="146906EC" w14:textId="77777777" w:rsidR="00796D9E" w:rsidRPr="00ED68E6" w:rsidRDefault="00796D9E" w:rsidP="00796D9E">
            <w:pPr>
              <w:rPr>
                <w:rFonts w:ascii="Century Gothic" w:hAnsi="Century Gothic"/>
                <w:sz w:val="16"/>
                <w:szCs w:val="16"/>
                <w:lang w:val="id-ID"/>
              </w:rPr>
            </w:pPr>
            <w:r w:rsidRPr="00ED68E6">
              <w:rPr>
                <w:rFonts w:ascii="Century Gothic" w:hAnsi="Century Gothic"/>
                <w:sz w:val="16"/>
                <w:szCs w:val="16"/>
                <w:lang w:val="id-ID"/>
              </w:rPr>
              <w:t>5= Sangat Penting</w:t>
            </w:r>
          </w:p>
          <w:p w14:paraId="09A82581" w14:textId="226EEC39" w:rsidR="004E40A7" w:rsidRPr="00ED68E6" w:rsidRDefault="004E40A7" w:rsidP="00796D9E">
            <w:pPr>
              <w:rPr>
                <w:rFonts w:ascii="Century Gothic" w:hAnsi="Century Gothic"/>
                <w:sz w:val="16"/>
                <w:szCs w:val="16"/>
                <w:lang w:val="id-ID"/>
              </w:rPr>
            </w:pPr>
          </w:p>
        </w:tc>
      </w:tr>
      <w:tr w:rsidR="00796D9E" w:rsidRPr="00ED68E6" w14:paraId="7DA76B71" w14:textId="77777777" w:rsidTr="00796D9E">
        <w:tc>
          <w:tcPr>
            <w:tcW w:w="1527" w:type="dxa"/>
          </w:tcPr>
          <w:p w14:paraId="08E9DFCD" w14:textId="3114DC29" w:rsidR="00796D9E" w:rsidRPr="00ED68E6" w:rsidRDefault="004E40A7" w:rsidP="00CE75E4">
            <w:pPr>
              <w:jc w:val="both"/>
              <w:rPr>
                <w:rFonts w:ascii="Century Gothic" w:hAnsi="Century Gothic"/>
                <w:sz w:val="16"/>
                <w:szCs w:val="16"/>
                <w:lang w:val="id-ID"/>
              </w:rPr>
            </w:pPr>
            <w:r w:rsidRPr="00ED68E6">
              <w:rPr>
                <w:rFonts w:ascii="Century Gothic" w:hAnsi="Century Gothic"/>
                <w:sz w:val="16"/>
                <w:szCs w:val="16"/>
                <w:lang w:val="id-ID"/>
              </w:rPr>
              <w:t>Kepuasan</w:t>
            </w:r>
          </w:p>
        </w:tc>
        <w:tc>
          <w:tcPr>
            <w:tcW w:w="1527" w:type="dxa"/>
          </w:tcPr>
          <w:p w14:paraId="0F3B6A4E" w14:textId="1A861A1E" w:rsidR="00796D9E" w:rsidRPr="00ED68E6" w:rsidRDefault="004E40A7" w:rsidP="00CE75E4">
            <w:pPr>
              <w:jc w:val="both"/>
              <w:rPr>
                <w:rFonts w:ascii="Century Gothic" w:hAnsi="Century Gothic"/>
                <w:sz w:val="16"/>
                <w:szCs w:val="16"/>
                <w:lang w:val="id-ID"/>
              </w:rPr>
            </w:pPr>
            <w:r w:rsidRPr="00ED68E6">
              <w:rPr>
                <w:rFonts w:ascii="Century Gothic" w:hAnsi="Century Gothic"/>
                <w:sz w:val="16"/>
                <w:szCs w:val="16"/>
                <w:lang w:val="id-ID"/>
              </w:rPr>
              <w:t>Seberapa tinggi tingkat kepuasan yang responden rasakan terkait dengan layanan yang diterima</w:t>
            </w:r>
          </w:p>
        </w:tc>
        <w:tc>
          <w:tcPr>
            <w:tcW w:w="1527" w:type="dxa"/>
          </w:tcPr>
          <w:p w14:paraId="0200BC1A" w14:textId="77777777" w:rsidR="004E40A7" w:rsidRPr="00ED68E6" w:rsidRDefault="004E40A7" w:rsidP="004E40A7">
            <w:pPr>
              <w:rPr>
                <w:rFonts w:ascii="Century Gothic" w:hAnsi="Century Gothic"/>
                <w:sz w:val="16"/>
                <w:szCs w:val="16"/>
                <w:lang w:val="id-ID"/>
              </w:rPr>
            </w:pPr>
            <w:r w:rsidRPr="00ED68E6">
              <w:rPr>
                <w:rFonts w:ascii="Century Gothic" w:hAnsi="Century Gothic"/>
                <w:sz w:val="16"/>
                <w:szCs w:val="16"/>
                <w:lang w:val="id-ID"/>
              </w:rPr>
              <w:t>1= Sangat Tidak Puas</w:t>
            </w:r>
          </w:p>
          <w:p w14:paraId="713CD6D5" w14:textId="77777777" w:rsidR="004E40A7" w:rsidRPr="00ED68E6" w:rsidRDefault="004E40A7" w:rsidP="004E40A7">
            <w:pPr>
              <w:rPr>
                <w:rFonts w:ascii="Century Gothic" w:hAnsi="Century Gothic"/>
                <w:sz w:val="16"/>
                <w:szCs w:val="16"/>
                <w:lang w:val="id-ID"/>
              </w:rPr>
            </w:pPr>
            <w:r w:rsidRPr="00ED68E6">
              <w:rPr>
                <w:rFonts w:ascii="Century Gothic" w:hAnsi="Century Gothic"/>
                <w:sz w:val="16"/>
                <w:szCs w:val="16"/>
                <w:lang w:val="id-ID"/>
              </w:rPr>
              <w:t>2= Tidak Puas</w:t>
            </w:r>
          </w:p>
          <w:p w14:paraId="460A9BB9" w14:textId="77777777" w:rsidR="004E40A7" w:rsidRPr="00ED68E6" w:rsidRDefault="004E40A7" w:rsidP="004E40A7">
            <w:pPr>
              <w:rPr>
                <w:rFonts w:ascii="Century Gothic" w:hAnsi="Century Gothic"/>
                <w:sz w:val="16"/>
                <w:szCs w:val="16"/>
                <w:lang w:val="id-ID"/>
              </w:rPr>
            </w:pPr>
            <w:r w:rsidRPr="00ED68E6">
              <w:rPr>
                <w:rFonts w:ascii="Century Gothic" w:hAnsi="Century Gothic"/>
                <w:sz w:val="16"/>
                <w:szCs w:val="16"/>
                <w:lang w:val="id-ID"/>
              </w:rPr>
              <w:t xml:space="preserve">3= Netral </w:t>
            </w:r>
          </w:p>
          <w:p w14:paraId="2004D9CE" w14:textId="77777777" w:rsidR="004E40A7" w:rsidRPr="00ED68E6" w:rsidRDefault="004E40A7" w:rsidP="004E40A7">
            <w:pPr>
              <w:rPr>
                <w:rFonts w:ascii="Century Gothic" w:hAnsi="Century Gothic"/>
                <w:sz w:val="16"/>
                <w:szCs w:val="16"/>
                <w:lang w:val="id-ID"/>
              </w:rPr>
            </w:pPr>
            <w:r w:rsidRPr="00ED68E6">
              <w:rPr>
                <w:rFonts w:ascii="Century Gothic" w:hAnsi="Century Gothic"/>
                <w:sz w:val="16"/>
                <w:szCs w:val="16"/>
                <w:lang w:val="id-ID"/>
              </w:rPr>
              <w:t>4= Puas</w:t>
            </w:r>
          </w:p>
          <w:p w14:paraId="7569F9F7" w14:textId="75248641" w:rsidR="00796D9E" w:rsidRPr="00ED68E6" w:rsidRDefault="004E40A7" w:rsidP="004E40A7">
            <w:pPr>
              <w:rPr>
                <w:rFonts w:ascii="Century Gothic" w:hAnsi="Century Gothic"/>
                <w:sz w:val="16"/>
                <w:szCs w:val="16"/>
                <w:lang w:val="id-ID"/>
              </w:rPr>
            </w:pPr>
            <w:r w:rsidRPr="00ED68E6">
              <w:rPr>
                <w:rFonts w:ascii="Century Gothic" w:hAnsi="Century Gothic"/>
                <w:sz w:val="16"/>
                <w:szCs w:val="16"/>
                <w:lang w:val="id-ID"/>
              </w:rPr>
              <w:t>5= Sangat Puas</w:t>
            </w:r>
          </w:p>
        </w:tc>
      </w:tr>
    </w:tbl>
    <w:p w14:paraId="2AC77E41" w14:textId="6776D721" w:rsidR="004E40A7" w:rsidRPr="00ED68E6" w:rsidRDefault="004E40A7" w:rsidP="004E40A7">
      <w:pPr>
        <w:pStyle w:val="Heading2"/>
        <w:rPr>
          <w:rFonts w:ascii="Century Gothic" w:hAnsi="Century Gothic"/>
          <w:sz w:val="20"/>
          <w:szCs w:val="20"/>
          <w:lang w:val="id-ID"/>
        </w:rPr>
      </w:pPr>
      <w:r w:rsidRPr="00ED68E6">
        <w:rPr>
          <w:rFonts w:ascii="Century Gothic" w:hAnsi="Century Gothic"/>
          <w:sz w:val="20"/>
          <w:szCs w:val="20"/>
          <w:lang w:val="id-ID"/>
        </w:rPr>
        <w:t>Desain Pengambilan Sampel</w:t>
      </w:r>
    </w:p>
    <w:p w14:paraId="42435CB4" w14:textId="4383A3F9" w:rsidR="004E40A7" w:rsidRPr="00ED68E6" w:rsidRDefault="004E40A7" w:rsidP="004E40A7">
      <w:pPr>
        <w:jc w:val="both"/>
        <w:rPr>
          <w:rFonts w:ascii="Century Gothic" w:hAnsi="Century Gothic"/>
          <w:sz w:val="20"/>
          <w:szCs w:val="20"/>
          <w:lang w:val="id-ID"/>
        </w:rPr>
      </w:pPr>
      <w:r w:rsidRPr="00ED68E6">
        <w:rPr>
          <w:rFonts w:ascii="Century Gothic" w:hAnsi="Century Gothic"/>
          <w:sz w:val="20"/>
          <w:szCs w:val="20"/>
          <w:lang w:val="id-ID"/>
        </w:rPr>
        <w:t>Kajian ini menggunakan kombinasi pendekatan kuantitatif dan kualitatif</w:t>
      </w:r>
      <w:r w:rsidR="007F2956" w:rsidRPr="00ED68E6">
        <w:rPr>
          <w:rFonts w:ascii="Century Gothic" w:hAnsi="Century Gothic"/>
          <w:sz w:val="20"/>
          <w:szCs w:val="20"/>
          <w:lang w:val="id-ID"/>
        </w:rPr>
        <w:t xml:space="preserve"> </w:t>
      </w:r>
      <w:sdt>
        <w:sdtPr>
          <w:rPr>
            <w:rFonts w:ascii="Century Gothic" w:hAnsi="Century Gothic"/>
            <w:sz w:val="20"/>
            <w:szCs w:val="20"/>
            <w:lang w:val="id-ID"/>
          </w:rPr>
          <w:id w:val="1154496767"/>
          <w:citation/>
        </w:sdtPr>
        <w:sdtEndPr/>
        <w:sdtContent>
          <w:r w:rsidR="007F2956" w:rsidRPr="00ED68E6">
            <w:rPr>
              <w:rFonts w:ascii="Century Gothic" w:hAnsi="Century Gothic"/>
              <w:sz w:val="20"/>
              <w:szCs w:val="20"/>
              <w:lang w:val="id-ID"/>
            </w:rPr>
            <w:fldChar w:fldCharType="begin"/>
          </w:r>
          <w:r w:rsidR="007D56E4">
            <w:rPr>
              <w:rFonts w:ascii="Century Gothic" w:hAnsi="Century Gothic"/>
              <w:sz w:val="20"/>
              <w:szCs w:val="20"/>
              <w:lang w:val="id-ID"/>
            </w:rPr>
            <w:instrText xml:space="preserve">CITATION Cre09 \l 1033 </w:instrText>
          </w:r>
          <w:r w:rsidR="007F2956" w:rsidRPr="00ED68E6">
            <w:rPr>
              <w:rFonts w:ascii="Century Gothic" w:hAnsi="Century Gothic"/>
              <w:sz w:val="20"/>
              <w:szCs w:val="20"/>
              <w:lang w:val="id-ID"/>
            </w:rPr>
            <w:fldChar w:fldCharType="separate"/>
          </w:r>
          <w:r w:rsidR="00BC3D3C" w:rsidRPr="00BC3D3C">
            <w:rPr>
              <w:rFonts w:ascii="Century Gothic" w:hAnsi="Century Gothic"/>
              <w:noProof/>
              <w:sz w:val="20"/>
              <w:szCs w:val="20"/>
              <w:lang w:val="id-ID"/>
            </w:rPr>
            <w:t>(Cresswell, 2014)</w:t>
          </w:r>
          <w:r w:rsidR="007F2956" w:rsidRPr="00ED68E6">
            <w:rPr>
              <w:rFonts w:ascii="Century Gothic" w:hAnsi="Century Gothic"/>
              <w:sz w:val="20"/>
              <w:szCs w:val="20"/>
              <w:lang w:val="id-ID"/>
            </w:rPr>
            <w:fldChar w:fldCharType="end"/>
          </w:r>
        </w:sdtContent>
      </w:sdt>
      <w:r w:rsidR="007F2956" w:rsidRPr="00ED68E6">
        <w:rPr>
          <w:rFonts w:ascii="Century Gothic" w:hAnsi="Century Gothic"/>
          <w:sz w:val="20"/>
          <w:szCs w:val="20"/>
          <w:lang w:val="id-ID"/>
        </w:rPr>
        <w:t xml:space="preserve">. </w:t>
      </w:r>
      <w:r w:rsidRPr="00ED68E6">
        <w:rPr>
          <w:rFonts w:ascii="Century Gothic" w:hAnsi="Century Gothic"/>
          <w:sz w:val="20"/>
          <w:szCs w:val="20"/>
          <w:lang w:val="id-ID"/>
        </w:rPr>
        <w:t xml:space="preserve">Pendekatan kuantitatif dilakukan dengan metode survei menggunakan kuesioner sedangkan pendekatan kualitatif dilaksanakan melalui metode wawancara dalam bentuk focus group discussion (FGD) di masing-masing lokasi FTA Center. Pengambilan sampel dilakukan dengan Teknik sampling bertujuan atau Purposive Sampling. Teknik untuk menentukan sampel penelitian dengan beberapa pertimbangan tertentu yang bertujuan agar data yang diperoleh bisa mewakili. Beberapa pertimbangan tersebut adalah (1) FTA Center baru beroperasi Tahun 2018, masih terdapat penyesuaian dengan pemangku kepentingan teknis di daerah dan masih dalam proses sosialisasi fungsi dan peran antarlembaga. Teknik tersebut mempunyai keunggulan sekaligus kelemahan, keunggulannya (1) sampel terpilih adalah sampel yang sesuai dengan tujuan penelitian, (2) proses teknik ini dapat dilakukan secara cepat dan mudah dilakukan, (3) sampel yang terpilih merupakan individu-individu yang mudah didekati. Sedangkan kelemahannya; (1) tidak ada jaminan jumlah responden atau informasi mewakili jumlah keseluruhan. (2) tidak termasuk metode </w:t>
      </w:r>
      <w:r w:rsidRPr="00ED68E6">
        <w:rPr>
          <w:rFonts w:ascii="Century Gothic" w:hAnsi="Century Gothic"/>
          <w:i/>
          <w:sz w:val="20"/>
          <w:szCs w:val="20"/>
          <w:lang w:val="id-ID"/>
        </w:rPr>
        <w:t>random sampling</w:t>
      </w:r>
      <w:r w:rsidRPr="00ED68E6">
        <w:rPr>
          <w:rFonts w:ascii="Century Gothic" w:hAnsi="Century Gothic"/>
          <w:sz w:val="20"/>
          <w:szCs w:val="20"/>
          <w:lang w:val="id-ID"/>
        </w:rPr>
        <w:t>, (3) tidak bisa digunakan untuk melakukan generalisasi masalah.</w:t>
      </w:r>
    </w:p>
    <w:p w14:paraId="2D483E1B" w14:textId="3CE9268C" w:rsidR="004E40A7" w:rsidRPr="00ED68E6" w:rsidRDefault="004E40A7" w:rsidP="004E40A7">
      <w:pPr>
        <w:jc w:val="both"/>
        <w:rPr>
          <w:rFonts w:ascii="Century Gothic" w:hAnsi="Century Gothic"/>
          <w:sz w:val="20"/>
          <w:szCs w:val="20"/>
          <w:lang w:val="id-ID"/>
        </w:rPr>
      </w:pPr>
      <w:r w:rsidRPr="00ED68E6">
        <w:rPr>
          <w:rFonts w:ascii="Century Gothic" w:hAnsi="Century Gothic"/>
          <w:sz w:val="20"/>
          <w:szCs w:val="20"/>
          <w:lang w:val="id-ID"/>
        </w:rPr>
        <w:lastRenderedPageBreak/>
        <w:t xml:space="preserve">Teknik pengambilan data tersebut dianggap relevan dilakukan mengingat data konsumen/pelanggan telah tercatat di </w:t>
      </w:r>
      <w:r w:rsidRPr="00ED68E6">
        <w:rPr>
          <w:rFonts w:ascii="Century Gothic" w:hAnsi="Century Gothic"/>
          <w:i/>
          <w:sz w:val="20"/>
          <w:szCs w:val="20"/>
          <w:lang w:val="id-ID"/>
        </w:rPr>
        <w:t>database</w:t>
      </w:r>
      <w:r w:rsidRPr="00ED68E6">
        <w:rPr>
          <w:rFonts w:ascii="Century Gothic" w:hAnsi="Century Gothic"/>
          <w:sz w:val="20"/>
          <w:szCs w:val="20"/>
          <w:lang w:val="id-ID"/>
        </w:rPr>
        <w:t xml:space="preserve"> FTA Center di daerah, dengan asumsi intensitas penggunaan jasa FTA Center lebih dari tiga kali, konsumen/pelanggan mempunyai kebutuhan terhadap pelayanan FTA Center dan sedangkan data yang diolah dan dianalisis adalah data primer berupa hasil survei bercorak numerik dan data sekunder berupa data pendukung yang tersedia di FTA Center masing-masing lokasi kajian. Data primer diperoleh dari proses survei, wawancara dan diskusi. </w:t>
      </w:r>
    </w:p>
    <w:p w14:paraId="34272D14" w14:textId="36E452B6" w:rsidR="004E40A7" w:rsidRPr="00ED68E6" w:rsidRDefault="004E40A7" w:rsidP="00DD74BA">
      <w:pPr>
        <w:jc w:val="both"/>
        <w:rPr>
          <w:rFonts w:ascii="Century Gothic" w:hAnsi="Century Gothic"/>
          <w:sz w:val="20"/>
          <w:szCs w:val="20"/>
          <w:lang w:val="id-ID"/>
        </w:rPr>
      </w:pPr>
      <w:r w:rsidRPr="00ED68E6">
        <w:rPr>
          <w:rFonts w:ascii="Century Gothic" w:hAnsi="Century Gothic"/>
          <w:sz w:val="20"/>
          <w:szCs w:val="20"/>
          <w:lang w:val="id-ID"/>
        </w:rPr>
        <w:t>Secara teknis pengolahan data survei dilakukan dengan menggunakan STATA, untuk mengukur validitas dan reliabilitas data. Sedangkan olah data kualitatif dilakukan dengan  deskriptif kualitatif dengan mengkategorikan data dan koding hasil wawancara serta diskusi disesuaikan dengan aspek-aspek yang diukur dalam olah data kuantitatif. Selanjutnya secara operasional yang disebut informan dan responden dalam kajian ini adalah Tenaga Ahli (pemberi layanan) dan Konsumen/pelanggan (penerima layanan) di masing-masing FTA Center di lima lokasi yakni, Jakarta, Bandung Medan, Makassar, dan Surabaya. Tenaga ahli yang dimaksud merujuk pada pelayanan yang dilakukan oleh tenaga ahli tersebut yang meliputi; edukasi, advokasi, prosedur sedangkan responden sekaligus informan konsumen/pelanggan adalah pelanggan FTA Center dari berbagai komoditas usaha yang secara intensif dan atau periodik memanfaatkan pelayanan FTA Center,  kategorisasi pelanggan tersebut meliputi  UMKM, yang  belum, sedang dan akan melakukan ekspor di daerahnya masing-masing. Total keseluruhan responden  d</w:t>
      </w:r>
      <w:r w:rsidR="00901A0D" w:rsidRPr="00ED68E6">
        <w:rPr>
          <w:rFonts w:ascii="Century Gothic" w:hAnsi="Century Gothic"/>
          <w:sz w:val="20"/>
          <w:szCs w:val="20"/>
          <w:lang w:val="id-ID"/>
        </w:rPr>
        <w:t>an informan adalah 46 responden. Jumlah ini diperoleh dari</w:t>
      </w:r>
      <w:r w:rsidRPr="00ED68E6">
        <w:rPr>
          <w:rFonts w:ascii="Century Gothic" w:hAnsi="Century Gothic"/>
          <w:sz w:val="20"/>
          <w:szCs w:val="20"/>
          <w:lang w:val="id-ID"/>
        </w:rPr>
        <w:t xml:space="preserve"> tiga orang  tenaga ahli beserta dua sampai tiga staf FTA Center, dan sekitar 8 sampai 15 telah menjadi responden sekaligus informan di lima lokasi FTA Center di masing-masing  daerah.</w:t>
      </w:r>
      <w:r w:rsidR="00DD74BA" w:rsidRPr="00ED68E6">
        <w:rPr>
          <w:rFonts w:ascii="Century Gothic" w:hAnsi="Century Gothic"/>
          <w:sz w:val="20"/>
          <w:szCs w:val="20"/>
          <w:lang w:val="id-ID"/>
        </w:rPr>
        <w:t xml:space="preserve"> </w:t>
      </w:r>
      <w:r w:rsidR="006E4270" w:rsidRPr="00ED68E6">
        <w:rPr>
          <w:rFonts w:ascii="Century Gothic" w:hAnsi="Century Gothic"/>
          <w:sz w:val="20"/>
          <w:szCs w:val="20"/>
          <w:lang w:val="id-ID"/>
        </w:rPr>
        <w:t xml:space="preserve">Teknik pengambilan data tersebut dianggap relevan dilakukan mengingat data konsumen/pelanggan telah tercatat di database FTA Center di daerah, dengan asumsi intensitas penggunaan jasa FTA </w:t>
      </w:r>
      <w:r w:rsidR="006E4270" w:rsidRPr="00ED68E6">
        <w:rPr>
          <w:rFonts w:ascii="Century Gothic" w:hAnsi="Century Gothic"/>
          <w:sz w:val="20"/>
          <w:szCs w:val="20"/>
          <w:lang w:val="id-ID"/>
        </w:rPr>
        <w:t xml:space="preserve">Center lebih dari tiga kali, konsumen/pelanggan mempunyai kebutuhan terhadap pelayanan FTA Center. </w:t>
      </w:r>
    </w:p>
    <w:p w14:paraId="1E141805" w14:textId="5A956F13" w:rsidR="00161C23" w:rsidRPr="00ED68E6" w:rsidRDefault="00161C23" w:rsidP="00161C23">
      <w:pPr>
        <w:pStyle w:val="Heading2"/>
        <w:rPr>
          <w:rFonts w:ascii="Century Gothic" w:hAnsi="Century Gothic"/>
          <w:sz w:val="20"/>
          <w:szCs w:val="20"/>
          <w:lang w:val="id-ID"/>
        </w:rPr>
      </w:pPr>
      <w:r w:rsidRPr="00ED68E6">
        <w:rPr>
          <w:rFonts w:ascii="Century Gothic" w:hAnsi="Century Gothic"/>
          <w:sz w:val="20"/>
          <w:szCs w:val="20"/>
          <w:lang w:val="id-ID"/>
        </w:rPr>
        <w:t>Statistik Deskriptif</w:t>
      </w:r>
    </w:p>
    <w:p w14:paraId="03EA2B25" w14:textId="458576E9" w:rsidR="00161C23" w:rsidRPr="00ED68E6" w:rsidRDefault="00161C23" w:rsidP="00161C23">
      <w:pPr>
        <w:jc w:val="both"/>
        <w:rPr>
          <w:rFonts w:ascii="Century Gothic" w:hAnsi="Century Gothic"/>
          <w:sz w:val="20"/>
          <w:szCs w:val="20"/>
          <w:lang w:val="id-ID"/>
        </w:rPr>
      </w:pPr>
      <w:r w:rsidRPr="00ED68E6">
        <w:rPr>
          <w:rFonts w:ascii="Century Gothic" w:hAnsi="Century Gothic"/>
          <w:sz w:val="20"/>
          <w:szCs w:val="20"/>
          <w:lang w:val="id-ID"/>
        </w:rPr>
        <w:t xml:space="preserve">Metode ini berfungsi sebagai teknik dasar untuk mendeskripsikan data, dan digunakan untuk melihat </w:t>
      </w:r>
      <w:r w:rsidRPr="00ED68E6">
        <w:rPr>
          <w:rFonts w:ascii="Century Gothic" w:hAnsi="Century Gothic"/>
          <w:i/>
          <w:sz w:val="20"/>
          <w:szCs w:val="20"/>
          <w:lang w:val="id-ID"/>
        </w:rPr>
        <w:t>central tendency</w:t>
      </w:r>
      <w:r w:rsidRPr="00ED68E6">
        <w:rPr>
          <w:rFonts w:ascii="Century Gothic" w:hAnsi="Century Gothic"/>
          <w:sz w:val="20"/>
          <w:szCs w:val="20"/>
          <w:lang w:val="id-ID"/>
        </w:rPr>
        <w:t xml:space="preserve"> dari semua hasil pengukuran variabel. Indikator </w:t>
      </w:r>
      <w:r w:rsidRPr="00ED68E6">
        <w:rPr>
          <w:rFonts w:ascii="Century Gothic" w:hAnsi="Century Gothic"/>
          <w:i/>
          <w:sz w:val="20"/>
          <w:szCs w:val="20"/>
          <w:lang w:val="id-ID"/>
        </w:rPr>
        <w:t>central tendency</w:t>
      </w:r>
      <w:r w:rsidRPr="00ED68E6">
        <w:rPr>
          <w:rFonts w:ascii="Century Gothic" w:hAnsi="Century Gothic"/>
          <w:sz w:val="20"/>
          <w:szCs w:val="20"/>
          <w:lang w:val="id-ID"/>
        </w:rPr>
        <w:t xml:space="preserve"> yang dominan digunakan dalam studi ini adalah rata-rata (mean). </w:t>
      </w:r>
    </w:p>
    <w:p w14:paraId="320F15FB" w14:textId="1273B24B" w:rsidR="00161C23" w:rsidRPr="00ED68E6" w:rsidRDefault="00161C23" w:rsidP="00161C23">
      <w:pPr>
        <w:pStyle w:val="Heading2"/>
        <w:rPr>
          <w:rFonts w:ascii="Century Gothic" w:hAnsi="Century Gothic"/>
          <w:sz w:val="20"/>
          <w:szCs w:val="20"/>
          <w:lang w:val="id-ID"/>
        </w:rPr>
      </w:pPr>
      <w:r w:rsidRPr="00ED68E6">
        <w:rPr>
          <w:rFonts w:ascii="Century Gothic" w:hAnsi="Century Gothic"/>
          <w:sz w:val="20"/>
          <w:szCs w:val="20"/>
          <w:lang w:val="id-ID"/>
        </w:rPr>
        <w:t>Matriks Hubungan Kepentingan dan Kepuasan</w:t>
      </w:r>
    </w:p>
    <w:p w14:paraId="355DA693" w14:textId="2EE0CC51" w:rsidR="004E40A7" w:rsidRPr="00ED68E6" w:rsidRDefault="000B682B" w:rsidP="00161C23">
      <w:pPr>
        <w:jc w:val="both"/>
        <w:rPr>
          <w:rFonts w:ascii="Century Gothic" w:hAnsi="Century Gothic"/>
          <w:sz w:val="20"/>
          <w:szCs w:val="20"/>
          <w:lang w:val="id-ID"/>
        </w:rPr>
      </w:pPr>
      <w:r w:rsidRPr="00ED68E6">
        <w:rPr>
          <w:rFonts w:ascii="Century Gothic" w:hAnsi="Century Gothic"/>
          <w:sz w:val="20"/>
          <w:szCs w:val="20"/>
          <w:lang w:val="id-ID"/>
        </w:rPr>
        <w:t>T</w:t>
      </w:r>
      <w:r w:rsidR="00161C23" w:rsidRPr="00ED68E6">
        <w:rPr>
          <w:rFonts w:ascii="Century Gothic" w:hAnsi="Century Gothic"/>
          <w:sz w:val="20"/>
          <w:szCs w:val="20"/>
          <w:lang w:val="id-ID"/>
        </w:rPr>
        <w:t>eknik ini</w:t>
      </w:r>
      <w:r w:rsidR="001C7358" w:rsidRPr="00ED68E6">
        <w:rPr>
          <w:rFonts w:ascii="Century Gothic" w:hAnsi="Century Gothic"/>
          <w:sz w:val="20"/>
          <w:szCs w:val="20"/>
          <w:lang w:val="id-ID"/>
        </w:rPr>
        <w:t xml:space="preserve"> digunakan</w:t>
      </w:r>
      <w:r w:rsidR="00161C23" w:rsidRPr="00ED68E6">
        <w:rPr>
          <w:rFonts w:ascii="Century Gothic" w:hAnsi="Century Gothic"/>
          <w:sz w:val="20"/>
          <w:szCs w:val="20"/>
          <w:lang w:val="id-ID"/>
        </w:rPr>
        <w:t xml:space="preserve"> untuk memetakan posisi aspek-aspek layanan yang terkait dengan indikator kepentingan layanan dan indikator kinerja layanan, yang dalam konteks ini didefinisikan sebagai tingkat kepuasan pengguna layanan. Data yang diperoleh kemudian dianalisis dengan menggunakan matriks importance-satisfaction analysis (ISA) yang diadaptasi dari matriks importance-performance analysis (IPA). Status penilaian kepuasan pengguna layanan ditetapkan berdasarkan skor cut-off 3,00. Oleh karena itu, nilai kepuasan pengguna layanan di bawah 3 didefinisikan sebagai “buruk,” dan sebaliknya, nilai item di atas 4 diinterpretasi sebagai “baik.”</w:t>
      </w:r>
    </w:p>
    <w:p w14:paraId="002F2FC2" w14:textId="47982CBA" w:rsidR="00E313A9" w:rsidRPr="00ED68E6" w:rsidRDefault="00167094" w:rsidP="005B0621">
      <w:pPr>
        <w:pStyle w:val="Heading1"/>
        <w:tabs>
          <w:tab w:val="left" w:pos="-3179"/>
          <w:tab w:val="num" w:pos="432"/>
        </w:tabs>
        <w:overflowPunct w:val="0"/>
        <w:autoSpaceDE w:val="0"/>
        <w:autoSpaceDN w:val="0"/>
        <w:adjustRightInd w:val="0"/>
        <w:spacing w:before="120" w:after="0"/>
        <w:ind w:left="431" w:hanging="431"/>
        <w:jc w:val="both"/>
        <w:textAlignment w:val="baseline"/>
        <w:rPr>
          <w:rFonts w:ascii="Century Gothic" w:hAnsi="Century Gothic"/>
          <w:sz w:val="20"/>
          <w:szCs w:val="20"/>
          <w:lang w:val="id-ID"/>
        </w:rPr>
      </w:pPr>
      <w:r w:rsidRPr="00ED68E6">
        <w:rPr>
          <w:rFonts w:ascii="Century Gothic" w:hAnsi="Century Gothic"/>
          <w:sz w:val="20"/>
          <w:szCs w:val="20"/>
          <w:lang w:val="id-ID"/>
        </w:rPr>
        <w:t xml:space="preserve">HASIL DAN </w:t>
      </w:r>
      <w:r w:rsidR="00E313A9" w:rsidRPr="00ED68E6">
        <w:rPr>
          <w:rFonts w:ascii="Century Gothic" w:hAnsi="Century Gothic"/>
          <w:sz w:val="20"/>
          <w:szCs w:val="20"/>
          <w:lang w:val="id-ID"/>
        </w:rPr>
        <w:t>PEMBAHASAN</w:t>
      </w:r>
    </w:p>
    <w:p w14:paraId="67B0D7F8" w14:textId="34C32D73" w:rsidR="00161C23" w:rsidRPr="00ED68E6" w:rsidRDefault="00161C23" w:rsidP="005B0621">
      <w:pPr>
        <w:pStyle w:val="Heading2"/>
        <w:spacing w:before="0" w:after="0"/>
        <w:rPr>
          <w:rFonts w:ascii="Century Gothic" w:hAnsi="Century Gothic"/>
          <w:sz w:val="20"/>
          <w:szCs w:val="20"/>
          <w:lang w:val="id-ID"/>
        </w:rPr>
      </w:pPr>
      <w:r w:rsidRPr="00ED68E6">
        <w:rPr>
          <w:rFonts w:ascii="Century Gothic" w:hAnsi="Century Gothic"/>
          <w:sz w:val="20"/>
          <w:szCs w:val="20"/>
          <w:lang w:val="id-ID"/>
        </w:rPr>
        <w:t>Indeks Kepuasan Layanan Pengguna Layanan</w:t>
      </w:r>
    </w:p>
    <w:p w14:paraId="4EB58132" w14:textId="18AFA6DE" w:rsidR="00161C23" w:rsidRPr="00ED68E6" w:rsidRDefault="00ED5490" w:rsidP="00B90E75">
      <w:pPr>
        <w:spacing w:after="120"/>
        <w:jc w:val="both"/>
        <w:rPr>
          <w:rFonts w:ascii="Century Gothic" w:hAnsi="Century Gothic" w:cstheme="minorHAnsi"/>
          <w:sz w:val="20"/>
          <w:szCs w:val="20"/>
          <w:lang w:val="id-ID"/>
        </w:rPr>
      </w:pPr>
      <w:r w:rsidRPr="00ED68E6">
        <w:rPr>
          <w:rFonts w:ascii="Century Gothic" w:hAnsi="Century Gothic" w:cstheme="minorHAnsi"/>
          <w:sz w:val="20"/>
          <w:szCs w:val="20"/>
          <w:lang w:val="id-ID"/>
        </w:rPr>
        <w:t>Bagian</w:t>
      </w:r>
      <w:r w:rsidR="00161C23" w:rsidRPr="00ED68E6">
        <w:rPr>
          <w:rFonts w:ascii="Century Gothic" w:hAnsi="Century Gothic" w:cstheme="minorHAnsi"/>
          <w:sz w:val="20"/>
          <w:szCs w:val="20"/>
          <w:lang w:val="id-ID"/>
        </w:rPr>
        <w:t xml:space="preserve"> ini membahas tentang tingkat kepua</w:t>
      </w:r>
      <w:r w:rsidR="00E03835" w:rsidRPr="00ED68E6">
        <w:rPr>
          <w:rFonts w:ascii="Century Gothic" w:hAnsi="Century Gothic" w:cstheme="minorHAnsi"/>
          <w:sz w:val="20"/>
          <w:szCs w:val="20"/>
          <w:lang w:val="id-ID"/>
        </w:rPr>
        <w:t xml:space="preserve">sasan responden Survei Pengguna </w:t>
      </w:r>
      <w:r w:rsidR="00161C23" w:rsidRPr="00ED68E6">
        <w:rPr>
          <w:rFonts w:ascii="Century Gothic" w:hAnsi="Century Gothic" w:cstheme="minorHAnsi"/>
          <w:sz w:val="20"/>
          <w:szCs w:val="20"/>
          <w:lang w:val="id-ID"/>
        </w:rPr>
        <w:t>Layanan Free Trade Agreement Center (FTAC) Kemendag RI dilaksanakan di 5 (lima) kota meliputi: (1) Jakarta; (2) Bandung; (3) Medan; (4) Makassar; dan (5) Surabaya. Tingkat kepuasan dinilai dari 9 aspek, yakni: (1) Keterbukaan/kemudahan akses layanan terhadap Informasi; (2) Informasi layanan; (3) Sikap tenaga ahli; (4) Kemampuan dan keterampilan tenaga ahli; (5) Lingkungan pendukung; (6) Akses terhadap layanan; (7) Waktu penyelesaian layanan; (8) Keefekti</w:t>
      </w:r>
      <w:r w:rsidR="001C7358" w:rsidRPr="00ED68E6">
        <w:rPr>
          <w:rFonts w:ascii="Century Gothic" w:hAnsi="Century Gothic" w:cstheme="minorHAnsi"/>
          <w:sz w:val="20"/>
          <w:szCs w:val="20"/>
          <w:lang w:val="id-ID"/>
        </w:rPr>
        <w:t>f</w:t>
      </w:r>
      <w:r w:rsidR="00161C23" w:rsidRPr="00ED68E6">
        <w:rPr>
          <w:rFonts w:ascii="Century Gothic" w:hAnsi="Century Gothic" w:cstheme="minorHAnsi"/>
          <w:sz w:val="20"/>
          <w:szCs w:val="20"/>
          <w:lang w:val="id-ID"/>
        </w:rPr>
        <w:t xml:space="preserve">an dan efisiensi layanan; dan (9) Aspek penanganan keluhan. </w:t>
      </w:r>
    </w:p>
    <w:p w14:paraId="2CA5F3BE" w14:textId="56D8D1C3" w:rsidR="00161C23" w:rsidRPr="00ED68E6" w:rsidRDefault="00161C23" w:rsidP="00161C23">
      <w:pPr>
        <w:pStyle w:val="Heading3"/>
        <w:rPr>
          <w:rFonts w:ascii="Century Gothic" w:hAnsi="Century Gothic"/>
          <w:b/>
          <w:sz w:val="20"/>
          <w:szCs w:val="20"/>
          <w:lang w:val="id-ID"/>
        </w:rPr>
      </w:pPr>
      <w:r w:rsidRPr="00ED68E6">
        <w:rPr>
          <w:rFonts w:ascii="Century Gothic" w:hAnsi="Century Gothic"/>
          <w:b/>
          <w:sz w:val="20"/>
          <w:szCs w:val="20"/>
          <w:lang w:val="id-ID"/>
        </w:rPr>
        <w:t>Indeks Kepuasan dan Kepentingan Pengguna Layanan Keseluruhan</w:t>
      </w:r>
    </w:p>
    <w:p w14:paraId="1A7C88C5" w14:textId="0C59B99B" w:rsidR="00161C23" w:rsidRPr="00ED68E6" w:rsidRDefault="00161C23" w:rsidP="00B90E75">
      <w:pPr>
        <w:spacing w:before="120"/>
        <w:jc w:val="both"/>
        <w:rPr>
          <w:rFonts w:ascii="Century Gothic" w:hAnsi="Century Gothic"/>
          <w:sz w:val="20"/>
          <w:szCs w:val="20"/>
          <w:lang w:val="id-ID"/>
        </w:rPr>
      </w:pPr>
      <w:r w:rsidRPr="00ED68E6">
        <w:rPr>
          <w:rFonts w:ascii="Century Gothic" w:hAnsi="Century Gothic"/>
          <w:sz w:val="20"/>
          <w:szCs w:val="20"/>
          <w:lang w:val="id-ID"/>
        </w:rPr>
        <w:t xml:space="preserve">Berdasarkan hasil survei pengguna layanan FTA Center di lima kota (Jakarta, Medan, Makassar, </w:t>
      </w:r>
      <w:r w:rsidRPr="00ED68E6">
        <w:rPr>
          <w:rFonts w:ascii="Century Gothic" w:hAnsi="Century Gothic"/>
          <w:sz w:val="20"/>
          <w:szCs w:val="20"/>
          <w:lang w:val="id-ID"/>
        </w:rPr>
        <w:lastRenderedPageBreak/>
        <w:t xml:space="preserve">Bandung, dan Surabaya) dengan total 46 responden, kuesioner menggunakan 5 skala likert (1=sangat tidak puas sampai 5=sangat puas) ditambah (TR=Tidak relevan dan TT=tidak tahu untuk tiap item pertanyaan yang dalam analisis diisi dengan kosong/dianggap missing value). </w:t>
      </w:r>
    </w:p>
    <w:p w14:paraId="18105DBD" w14:textId="457C2C1B" w:rsidR="00161C23" w:rsidRPr="00ED68E6" w:rsidRDefault="00161C23" w:rsidP="00161C23">
      <w:pPr>
        <w:jc w:val="both"/>
        <w:rPr>
          <w:rFonts w:ascii="Century Gothic" w:hAnsi="Century Gothic"/>
          <w:sz w:val="20"/>
          <w:szCs w:val="20"/>
          <w:lang w:val="id-ID"/>
        </w:rPr>
      </w:pPr>
      <w:r w:rsidRPr="00ED68E6">
        <w:rPr>
          <w:rFonts w:ascii="Century Gothic" w:hAnsi="Century Gothic"/>
          <w:sz w:val="20"/>
          <w:szCs w:val="20"/>
          <w:lang w:val="id-ID"/>
        </w:rPr>
        <w:t>Hasil menunjukkan bahwa rata-rata indeks kepuasan adalah 4,38, berarti rata-rata responden yang menggunakan layanan FTA Center secara keseluruhan lebih dari puas (4=puas), meskipun masih di bawah sangat puas (5=sangat puas). Aspek dengan skor yang paling rendah adalah Lingkungan pendukung (4,17), sedangkan aspek yang</w:t>
      </w:r>
      <w:r w:rsidR="001C269D" w:rsidRPr="00ED68E6">
        <w:rPr>
          <w:rFonts w:ascii="Century Gothic" w:hAnsi="Century Gothic"/>
          <w:sz w:val="20"/>
          <w:szCs w:val="20"/>
          <w:lang w:val="id-ID"/>
        </w:rPr>
        <w:t xml:space="preserve"> paling tinggi nilainya adalah s</w:t>
      </w:r>
      <w:r w:rsidRPr="00ED68E6">
        <w:rPr>
          <w:rFonts w:ascii="Century Gothic" w:hAnsi="Century Gothic"/>
          <w:sz w:val="20"/>
          <w:szCs w:val="20"/>
          <w:lang w:val="id-ID"/>
        </w:rPr>
        <w:t>ikap ten</w:t>
      </w:r>
      <w:r w:rsidR="0005122A" w:rsidRPr="00ED68E6">
        <w:rPr>
          <w:rFonts w:ascii="Century Gothic" w:hAnsi="Century Gothic"/>
          <w:sz w:val="20"/>
          <w:szCs w:val="20"/>
          <w:lang w:val="id-ID"/>
        </w:rPr>
        <w:t xml:space="preserve">aga ahli di FTA Center (4,71). </w:t>
      </w:r>
    </w:p>
    <w:p w14:paraId="4DF04CD3" w14:textId="1321F1FD" w:rsidR="00161C23" w:rsidRPr="00ED68E6" w:rsidRDefault="00161C23" w:rsidP="00161C23">
      <w:pPr>
        <w:jc w:val="both"/>
        <w:rPr>
          <w:rFonts w:ascii="Century Gothic" w:hAnsi="Century Gothic"/>
          <w:sz w:val="20"/>
          <w:szCs w:val="20"/>
          <w:lang w:val="id-ID"/>
        </w:rPr>
      </w:pPr>
      <w:r w:rsidRPr="00ED68E6">
        <w:rPr>
          <w:rFonts w:ascii="Century Gothic" w:hAnsi="Century Gothic"/>
          <w:sz w:val="20"/>
          <w:szCs w:val="20"/>
          <w:lang w:val="id-ID"/>
        </w:rPr>
        <w:t>Kemudian, Indeks Kepentingan secara agregat memiliki rata-rata 4,55, menggunakan 5 skala likert (1=sangat tidak penting sampai 5=sangat penting), ditambah (TR=Tidak relevan dan TT=tidak tahu untuk tiap item pertanyaan yang dalam analisis diisi dengan kosong/dianggap missing value). Aspek layanan yang memiliki rata-rata skor indeks kepentingan paling rendah adalah Informasi layanan FTA Center (4,28), masih di atas penting (4=penting), namun dibawah sangat penting (5=sangat penting). Sedangkan, aspek layanan yang memiliki indeks skor kepentingan tertinggi adalah Sikap tenaga ahli di FTA Center (4,77) yang mendekati sangat penting (5=sangat penting).</w:t>
      </w:r>
    </w:p>
    <w:p w14:paraId="184D3B79" w14:textId="77777777" w:rsidR="001F51CD" w:rsidRPr="00ED68E6" w:rsidRDefault="001F51CD" w:rsidP="00161C23">
      <w:pPr>
        <w:jc w:val="both"/>
        <w:rPr>
          <w:rFonts w:ascii="Century Gothic" w:hAnsi="Century Gothic"/>
          <w:sz w:val="20"/>
          <w:szCs w:val="20"/>
          <w:lang w:val="id-ID"/>
        </w:rPr>
      </w:pPr>
    </w:p>
    <w:p w14:paraId="6E1B04EE" w14:textId="2A7EA575" w:rsidR="001F51CD" w:rsidRPr="00ED68E6" w:rsidRDefault="001F51CD" w:rsidP="00161C23">
      <w:pPr>
        <w:jc w:val="both"/>
        <w:rPr>
          <w:rFonts w:ascii="Century Gothic" w:hAnsi="Century Gothic"/>
          <w:sz w:val="20"/>
          <w:szCs w:val="20"/>
          <w:lang w:val="id-ID"/>
        </w:rPr>
      </w:pPr>
      <w:r w:rsidRPr="00ED68E6">
        <w:rPr>
          <w:noProof/>
          <w:lang w:val="id-ID"/>
        </w:rPr>
        <mc:AlternateContent>
          <mc:Choice Requires="wps">
            <w:drawing>
              <wp:anchor distT="0" distB="0" distL="114300" distR="114300" simplePos="0" relativeHeight="251667456" behindDoc="1" locked="0" layoutInCell="1" allowOverlap="1" wp14:anchorId="59029D79" wp14:editId="0459C681">
                <wp:simplePos x="0" y="0"/>
                <wp:positionH relativeFrom="column">
                  <wp:posOffset>-34119</wp:posOffset>
                </wp:positionH>
                <wp:positionV relativeFrom="paragraph">
                  <wp:posOffset>2194219</wp:posOffset>
                </wp:positionV>
                <wp:extent cx="3009900" cy="635"/>
                <wp:effectExtent l="0" t="0" r="0" b="0"/>
                <wp:wrapTight wrapText="bothSides">
                  <wp:wrapPolygon edited="0">
                    <wp:start x="0" y="0"/>
                    <wp:lineTo x="0" y="21600"/>
                    <wp:lineTo x="21600" y="21600"/>
                    <wp:lineTo x="21600" y="0"/>
                  </wp:wrapPolygon>
                </wp:wrapTight>
                <wp:docPr id="6" name="Text Box 6"/>
                <wp:cNvGraphicFramePr/>
                <a:graphic xmlns:a="http://schemas.openxmlformats.org/drawingml/2006/main">
                  <a:graphicData uri="http://schemas.microsoft.com/office/word/2010/wordprocessingShape">
                    <wps:wsp>
                      <wps:cNvSpPr txBox="1"/>
                      <wps:spPr>
                        <a:xfrm>
                          <a:off x="0" y="0"/>
                          <a:ext cx="3009900" cy="635"/>
                        </a:xfrm>
                        <a:prstGeom prst="rect">
                          <a:avLst/>
                        </a:prstGeom>
                        <a:solidFill>
                          <a:prstClr val="white"/>
                        </a:solidFill>
                        <a:ln>
                          <a:noFill/>
                        </a:ln>
                      </wps:spPr>
                      <wps:txbx>
                        <w:txbxContent>
                          <w:p w14:paraId="0B800B22" w14:textId="77777777" w:rsidR="00ED5490" w:rsidRPr="00B90E75" w:rsidRDefault="00ED5490" w:rsidP="00ED5490">
                            <w:pPr>
                              <w:pStyle w:val="Caption"/>
                              <w:jc w:val="center"/>
                              <w:rPr>
                                <w:rFonts w:ascii="Century Gothic" w:hAnsi="Century Gothic"/>
                                <w:b/>
                                <w:bCs/>
                                <w:i w:val="0"/>
                                <w:noProof/>
                                <w:color w:val="auto"/>
                                <w:sz w:val="20"/>
                                <w:szCs w:val="20"/>
                              </w:rPr>
                            </w:pPr>
                            <w:r w:rsidRPr="00B90E75">
                              <w:rPr>
                                <w:rFonts w:ascii="Century Gothic" w:hAnsi="Century Gothic"/>
                                <w:b/>
                                <w:i w:val="0"/>
                                <w:color w:val="auto"/>
                                <w:sz w:val="20"/>
                                <w:szCs w:val="20"/>
                              </w:rPr>
                              <w:t>Gambar 3. Matrik Kepentingan -Kepuasan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59029D79" id="_x0000_t202" coordsize="21600,21600" o:spt="202" path="m,l,21600r21600,l21600,xe">
                <v:stroke joinstyle="miter"/>
                <v:path gradientshapeok="t" o:connecttype="rect"/>
              </v:shapetype>
              <v:shape id="Text Box 6" o:spid="_x0000_s1026" type="#_x0000_t202" style="position:absolute;left:0;text-align:left;margin-left:-2.7pt;margin-top:172.75pt;width:237pt;height:.05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" stroked="f">
                <v:textbox style="mso-fit-shape-to-text:t" inset="0,0,0,0">
                  <w:txbxContent>
                    <w:p w14:paraId="0B800B22" w14:textId="77777777" w:rsidR="00ED5490" w:rsidRPr="00B90E75" w:rsidRDefault="00ED5490" w:rsidP="00ED5490">
                      <w:pPr>
                        <w:pStyle w:val="Caption"/>
                        <w:jc w:val="center"/>
                        <w:rPr>
                          <w:rFonts w:ascii="Century Gothic" w:hAnsi="Century Gothic"/>
                          <w:b/>
                          <w:bCs/>
                          <w:i w:val="0"/>
                          <w:noProof/>
                          <w:color w:val="auto"/>
                          <w:sz w:val="20"/>
                          <w:szCs w:val="20"/>
                        </w:rPr>
                      </w:pPr>
                      <w:r w:rsidRPr="00B90E75">
                        <w:rPr>
                          <w:rFonts w:ascii="Century Gothic" w:hAnsi="Century Gothic"/>
                          <w:b/>
                          <w:i w:val="0"/>
                          <w:color w:val="auto"/>
                          <w:sz w:val="20"/>
                          <w:szCs w:val="20"/>
                        </w:rPr>
                        <w:t>Gambar 3. Matrik Kepentingan -Kepuasan</w:t>
                      </w:r>
                    </w:p>
                  </w:txbxContent>
                </v:textbox>
                <w10:wrap type="tight"/>
              </v:shape>
            </w:pict>
          </mc:Fallback>
        </mc:AlternateContent>
      </w:r>
      <w:r w:rsidRPr="00ED68E6">
        <w:rPr>
          <w:rFonts w:ascii="Century Gothic" w:hAnsi="Century Gothic"/>
          <w:noProof/>
          <w:sz w:val="20"/>
          <w:szCs w:val="20"/>
          <w:lang w:val="id-ID"/>
        </w:rPr>
        <w:drawing>
          <wp:inline distT="0" distB="0" distL="0" distR="0" wp14:anchorId="257C14ED" wp14:editId="62226326">
            <wp:extent cx="2915285" cy="2139187"/>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5285" cy="2139187"/>
                    </a:xfrm>
                    <a:prstGeom prst="rect">
                      <a:avLst/>
                    </a:prstGeom>
                    <a:noFill/>
                    <a:ln>
                      <a:noFill/>
                    </a:ln>
                  </pic:spPr>
                </pic:pic>
              </a:graphicData>
            </a:graphic>
          </wp:inline>
        </w:drawing>
      </w:r>
    </w:p>
    <w:p w14:paraId="204E5BD3" w14:textId="17E65DBE" w:rsidR="00164B2B" w:rsidRPr="00ED68E6" w:rsidRDefault="001F51CD" w:rsidP="00785434">
      <w:pPr>
        <w:spacing w:before="120"/>
        <w:jc w:val="both"/>
        <w:rPr>
          <w:rFonts w:ascii="Century Gothic" w:hAnsi="Century Gothic"/>
          <w:b/>
          <w:sz w:val="20"/>
          <w:szCs w:val="20"/>
          <w:lang w:val="id-ID"/>
        </w:rPr>
      </w:pPr>
      <w:r w:rsidRPr="00ED68E6">
        <w:rPr>
          <w:rFonts w:ascii="Century Gothic" w:hAnsi="Century Gothic" w:cstheme="minorHAnsi"/>
          <w:sz w:val="20"/>
          <w:szCs w:val="20"/>
          <w:lang w:val="id-ID"/>
        </w:rPr>
        <w:t>G</w:t>
      </w:r>
      <w:r w:rsidR="00ED5490" w:rsidRPr="00ED68E6">
        <w:rPr>
          <w:rFonts w:ascii="Century Gothic" w:hAnsi="Century Gothic" w:cstheme="minorHAnsi"/>
          <w:sz w:val="20"/>
          <w:szCs w:val="20"/>
          <w:lang w:val="id-ID"/>
        </w:rPr>
        <w:t xml:space="preserve">ambar di atas </w:t>
      </w:r>
      <w:r w:rsidR="0005122A" w:rsidRPr="00ED68E6">
        <w:rPr>
          <w:rFonts w:ascii="Century Gothic" w:hAnsi="Century Gothic" w:cstheme="minorHAnsi"/>
          <w:sz w:val="20"/>
          <w:szCs w:val="20"/>
          <w:lang w:val="id-ID"/>
        </w:rPr>
        <w:t>menunjukkan bahwa dari 9 aspek layanan FTA</w:t>
      </w:r>
      <w:r w:rsidR="00646DB8" w:rsidRPr="00ED68E6">
        <w:rPr>
          <w:rFonts w:ascii="Century Gothic" w:hAnsi="Century Gothic" w:cstheme="minorHAnsi"/>
          <w:sz w:val="20"/>
          <w:szCs w:val="20"/>
          <w:lang w:val="id-ID"/>
        </w:rPr>
        <w:t xml:space="preserve"> </w:t>
      </w:r>
      <w:r w:rsidR="0005122A" w:rsidRPr="00ED68E6">
        <w:rPr>
          <w:rFonts w:ascii="Century Gothic" w:hAnsi="Century Gothic" w:cstheme="minorHAnsi"/>
          <w:sz w:val="20"/>
          <w:szCs w:val="20"/>
          <w:lang w:val="id-ID"/>
        </w:rPr>
        <w:t>C</w:t>
      </w:r>
      <w:r w:rsidR="00646DB8" w:rsidRPr="00ED68E6">
        <w:rPr>
          <w:rFonts w:ascii="Century Gothic" w:hAnsi="Century Gothic" w:cstheme="minorHAnsi"/>
          <w:sz w:val="20"/>
          <w:szCs w:val="20"/>
          <w:lang w:val="id-ID"/>
        </w:rPr>
        <w:t>enter</w:t>
      </w:r>
      <w:r w:rsidR="0005122A" w:rsidRPr="00ED68E6">
        <w:rPr>
          <w:rFonts w:ascii="Century Gothic" w:hAnsi="Century Gothic" w:cstheme="minorHAnsi"/>
          <w:sz w:val="20"/>
          <w:szCs w:val="20"/>
          <w:lang w:val="id-ID"/>
        </w:rPr>
        <w:t xml:space="preserve">, sebagian besar aspek layanan sudah berada di </w:t>
      </w:r>
      <w:r w:rsidR="00ED5490" w:rsidRPr="00ED68E6">
        <w:rPr>
          <w:rFonts w:ascii="Century Gothic" w:hAnsi="Century Gothic" w:cstheme="minorHAnsi"/>
          <w:sz w:val="20"/>
          <w:szCs w:val="20"/>
          <w:lang w:val="id-ID"/>
        </w:rPr>
        <w:t xml:space="preserve">kuadran I. Kuadran I tersebut </w:t>
      </w:r>
      <w:r w:rsidR="0005122A" w:rsidRPr="00ED68E6">
        <w:rPr>
          <w:rFonts w:ascii="Century Gothic" w:hAnsi="Century Gothic" w:cstheme="minorHAnsi"/>
          <w:sz w:val="20"/>
          <w:szCs w:val="20"/>
          <w:lang w:val="id-ID"/>
        </w:rPr>
        <w:t>mengindikasikan bahwa responden menilai empat aspek layanan FTA</w:t>
      </w:r>
      <w:r w:rsidR="00646DB8" w:rsidRPr="00ED68E6">
        <w:rPr>
          <w:rFonts w:ascii="Century Gothic" w:hAnsi="Century Gothic" w:cstheme="minorHAnsi"/>
          <w:sz w:val="20"/>
          <w:szCs w:val="20"/>
          <w:lang w:val="id-ID"/>
        </w:rPr>
        <w:t xml:space="preserve"> </w:t>
      </w:r>
      <w:r w:rsidR="0005122A" w:rsidRPr="00ED68E6">
        <w:rPr>
          <w:rFonts w:ascii="Century Gothic" w:hAnsi="Century Gothic" w:cstheme="minorHAnsi"/>
          <w:sz w:val="20"/>
          <w:szCs w:val="20"/>
          <w:lang w:val="id-ID"/>
        </w:rPr>
        <w:t>C</w:t>
      </w:r>
      <w:r w:rsidR="00646DB8" w:rsidRPr="00ED68E6">
        <w:rPr>
          <w:rFonts w:ascii="Century Gothic" w:hAnsi="Century Gothic" w:cstheme="minorHAnsi"/>
          <w:sz w:val="20"/>
          <w:szCs w:val="20"/>
          <w:lang w:val="id-ID"/>
        </w:rPr>
        <w:t>enter</w:t>
      </w:r>
      <w:r w:rsidR="0005122A" w:rsidRPr="00ED68E6">
        <w:rPr>
          <w:rFonts w:ascii="Century Gothic" w:hAnsi="Century Gothic" w:cstheme="minorHAnsi"/>
          <w:sz w:val="20"/>
          <w:szCs w:val="20"/>
          <w:lang w:val="id-ID"/>
        </w:rPr>
        <w:t xml:space="preserve"> memiliki tingkat indeks kepentingan dan indeks kepuasan yang sangat tinggi (“keep up the good work”). Sementara itu, tiga aspek yang lainnya berada di kuadran IV, dan terakhir masih terdapat dua aspek yang berada di kuadran II, yaitu aspek nomor 2, 5, dan 7.</w:t>
      </w:r>
      <w:r w:rsidR="0005122A" w:rsidRPr="00ED68E6">
        <w:rPr>
          <w:rFonts w:ascii="Century Gothic" w:hAnsi="Century Gothic"/>
          <w:sz w:val="20"/>
          <w:szCs w:val="20"/>
          <w:lang w:val="id-ID"/>
        </w:rPr>
        <w:t xml:space="preserve"> Aspek nomor 2 adalah “Informasi Layanan (Persyaratan, Prosedur, dll.),” aspek nomor 5 adalah “Lingkungan Pendukung,” dan aspek nomor 7 adalah “Waktu Penyelesaian Layanan.</w:t>
      </w:r>
    </w:p>
    <w:p w14:paraId="3F450CD8" w14:textId="1405E42E" w:rsidR="0083463B" w:rsidRPr="00ED68E6" w:rsidRDefault="0005122A" w:rsidP="00A35CB3">
      <w:pPr>
        <w:spacing w:before="120"/>
        <w:jc w:val="both"/>
        <w:rPr>
          <w:rFonts w:ascii="Century Gothic" w:hAnsi="Century Gothic" w:cstheme="minorHAnsi"/>
          <w:sz w:val="20"/>
          <w:szCs w:val="20"/>
          <w:lang w:val="id-ID"/>
        </w:rPr>
      </w:pPr>
      <w:r w:rsidRPr="00ED68E6">
        <w:rPr>
          <w:rFonts w:ascii="Century Gothic" w:hAnsi="Century Gothic" w:cstheme="minorHAnsi"/>
          <w:sz w:val="20"/>
          <w:szCs w:val="20"/>
          <w:lang w:val="id-ID"/>
        </w:rPr>
        <w:t>Untuk meningkatkan kualitas pada aspek nomor 2, 5, dan 7, berbagai perbaikan menyeluruh dan lintas-departemen harus dilakukan. Hasil FGD dengan para usahawan  dan wawancara mendalam dengan para tenaga ahli juga memberikan beberapa gambaran dan masukan. Aspek nomor 2, yaitu “Informasi Layanan (Persyaratan, Prosedur, dll.),” masih disediakan dengan minimum. Informasi mengenai layanan memang dilakukan dengan intensif di berbagai media sosial, namun diperlukan adanya website yang komprehensif dan terintegrasi dengan Indonesia Trade Promotion Center (ITPC) sehingga memudahkan pelaku usaha untuk mengakses informasi mengenai produk potensial, peraturan, perjanjian, dan berbagai hal lain secara menyeluruh.</w:t>
      </w:r>
    </w:p>
    <w:p w14:paraId="021F9A06" w14:textId="2BA3F951" w:rsidR="0005122A" w:rsidRDefault="0005122A" w:rsidP="00A35CB3">
      <w:pPr>
        <w:spacing w:before="120"/>
        <w:jc w:val="both"/>
        <w:rPr>
          <w:rFonts w:ascii="Century Gothic" w:hAnsi="Century Gothic" w:cstheme="minorHAnsi"/>
          <w:sz w:val="20"/>
          <w:szCs w:val="20"/>
          <w:lang w:val="id-ID"/>
        </w:rPr>
      </w:pPr>
      <w:r w:rsidRPr="00ED68E6">
        <w:rPr>
          <w:rFonts w:ascii="Century Gothic" w:hAnsi="Century Gothic" w:cstheme="minorHAnsi"/>
          <w:sz w:val="20"/>
          <w:szCs w:val="20"/>
          <w:lang w:val="id-ID"/>
        </w:rPr>
        <w:t>Aspek nomor 5, yaitu “Lingkungan Pendukung, Sarana, dan Prasarana di Kantor FTA</w:t>
      </w:r>
      <w:r w:rsidR="008C2743">
        <w:rPr>
          <w:rFonts w:ascii="Century Gothic" w:hAnsi="Century Gothic" w:cstheme="minorHAnsi"/>
          <w:sz w:val="20"/>
          <w:szCs w:val="20"/>
        </w:rPr>
        <w:t xml:space="preserve"> </w:t>
      </w:r>
      <w:r w:rsidRPr="00ED68E6">
        <w:rPr>
          <w:rFonts w:ascii="Century Gothic" w:hAnsi="Century Gothic" w:cstheme="minorHAnsi"/>
          <w:sz w:val="20"/>
          <w:szCs w:val="20"/>
          <w:lang w:val="id-ID"/>
        </w:rPr>
        <w:t>C</w:t>
      </w:r>
      <w:r w:rsidR="008C2743">
        <w:rPr>
          <w:rFonts w:ascii="Century Gothic" w:hAnsi="Century Gothic" w:cstheme="minorHAnsi"/>
          <w:sz w:val="20"/>
          <w:szCs w:val="20"/>
        </w:rPr>
        <w:t>enter</w:t>
      </w:r>
      <w:r w:rsidRPr="00ED68E6">
        <w:rPr>
          <w:rFonts w:ascii="Century Gothic" w:hAnsi="Century Gothic" w:cstheme="minorHAnsi"/>
          <w:sz w:val="20"/>
          <w:szCs w:val="20"/>
          <w:lang w:val="id-ID"/>
        </w:rPr>
        <w:t xml:space="preserve">,” masih harus diperbaiki agar lebih representatif. Sementara itu, untuk aspek 7, yaitu “Waktu Penyelesaian Layanan,” pelaku usaha masih mengeluhkan belum adanya </w:t>
      </w:r>
      <w:r w:rsidRPr="00ED68E6">
        <w:rPr>
          <w:rFonts w:ascii="Century Gothic" w:hAnsi="Century Gothic" w:cstheme="minorHAnsi"/>
          <w:i/>
          <w:sz w:val="20"/>
          <w:szCs w:val="20"/>
          <w:lang w:val="id-ID"/>
        </w:rPr>
        <w:t>deadline</w:t>
      </w:r>
      <w:r w:rsidRPr="00ED68E6">
        <w:rPr>
          <w:rFonts w:ascii="Century Gothic" w:hAnsi="Century Gothic" w:cstheme="minorHAnsi"/>
          <w:sz w:val="20"/>
          <w:szCs w:val="20"/>
          <w:lang w:val="id-ID"/>
        </w:rPr>
        <w:t xml:space="preserve"> penyelesaian dan </w:t>
      </w:r>
      <w:r w:rsidRPr="00ED68E6">
        <w:rPr>
          <w:rFonts w:ascii="Century Gothic" w:hAnsi="Century Gothic" w:cstheme="minorHAnsi"/>
          <w:i/>
          <w:sz w:val="20"/>
          <w:szCs w:val="20"/>
          <w:lang w:val="id-ID"/>
        </w:rPr>
        <w:t>follow-up</w:t>
      </w:r>
      <w:r w:rsidRPr="00ED68E6">
        <w:rPr>
          <w:rFonts w:ascii="Century Gothic" w:hAnsi="Century Gothic" w:cstheme="minorHAnsi"/>
          <w:sz w:val="20"/>
          <w:szCs w:val="20"/>
          <w:lang w:val="id-ID"/>
        </w:rPr>
        <w:t xml:space="preserve"> yang jelas dari setiap keluhan yang dikeluhkan. Ketidakjelasan </w:t>
      </w:r>
      <w:r w:rsidRPr="00ED68E6">
        <w:rPr>
          <w:rFonts w:ascii="Century Gothic" w:hAnsi="Century Gothic" w:cstheme="minorHAnsi"/>
          <w:i/>
          <w:sz w:val="20"/>
          <w:szCs w:val="20"/>
          <w:lang w:val="id-ID"/>
        </w:rPr>
        <w:t>follow-up</w:t>
      </w:r>
      <w:r w:rsidRPr="00ED68E6">
        <w:rPr>
          <w:rFonts w:ascii="Century Gothic" w:hAnsi="Century Gothic" w:cstheme="minorHAnsi"/>
          <w:sz w:val="20"/>
          <w:szCs w:val="20"/>
          <w:lang w:val="id-ID"/>
        </w:rPr>
        <w:t xml:space="preserve"> ini harus diatasi dengan meningkatkan fokus penyelesaian. Misalnya, jika keluhan yang ada berkaitan dengan regulasi dinas terkait</w:t>
      </w:r>
      <w:r w:rsidR="007C3B63" w:rsidRPr="00ED68E6">
        <w:rPr>
          <w:rFonts w:ascii="Century Gothic" w:hAnsi="Century Gothic" w:cstheme="minorHAnsi"/>
          <w:sz w:val="20"/>
          <w:szCs w:val="20"/>
          <w:lang w:val="id-ID"/>
        </w:rPr>
        <w:t xml:space="preserve"> di daerah</w:t>
      </w:r>
      <w:r w:rsidRPr="00ED68E6">
        <w:rPr>
          <w:rFonts w:ascii="Century Gothic" w:hAnsi="Century Gothic" w:cstheme="minorHAnsi"/>
          <w:sz w:val="20"/>
          <w:szCs w:val="20"/>
          <w:lang w:val="id-ID"/>
        </w:rPr>
        <w:t>, diharapkan FTA</w:t>
      </w:r>
      <w:r w:rsidR="00B90E75" w:rsidRPr="00ED68E6">
        <w:rPr>
          <w:rFonts w:ascii="Century Gothic" w:hAnsi="Century Gothic" w:cstheme="minorHAnsi"/>
          <w:sz w:val="20"/>
          <w:szCs w:val="20"/>
          <w:lang w:val="id-ID"/>
        </w:rPr>
        <w:t xml:space="preserve"> </w:t>
      </w:r>
      <w:r w:rsidRPr="00ED68E6">
        <w:rPr>
          <w:rFonts w:ascii="Century Gothic" w:hAnsi="Century Gothic" w:cstheme="minorHAnsi"/>
          <w:sz w:val="20"/>
          <w:szCs w:val="20"/>
          <w:lang w:val="id-ID"/>
        </w:rPr>
        <w:t>C</w:t>
      </w:r>
      <w:r w:rsidR="00B90E75" w:rsidRPr="00ED68E6">
        <w:rPr>
          <w:rFonts w:ascii="Century Gothic" w:hAnsi="Century Gothic" w:cstheme="minorHAnsi"/>
          <w:sz w:val="20"/>
          <w:szCs w:val="20"/>
          <w:lang w:val="id-ID"/>
        </w:rPr>
        <w:t>enter</w:t>
      </w:r>
      <w:r w:rsidRPr="00ED68E6">
        <w:rPr>
          <w:rFonts w:ascii="Century Gothic" w:hAnsi="Century Gothic" w:cstheme="minorHAnsi"/>
          <w:sz w:val="20"/>
          <w:szCs w:val="20"/>
          <w:lang w:val="id-ID"/>
        </w:rPr>
        <w:t xml:space="preserve"> dapat menjadi jembatan serta pemberi rekomendasi bagi para pelaku usaha.</w:t>
      </w:r>
    </w:p>
    <w:p w14:paraId="0FA206F6" w14:textId="77777777" w:rsidR="0047262D" w:rsidRPr="00ED68E6" w:rsidRDefault="0047262D" w:rsidP="00A35CB3">
      <w:pPr>
        <w:spacing w:before="120"/>
        <w:jc w:val="both"/>
        <w:rPr>
          <w:rFonts w:ascii="Century Gothic" w:hAnsi="Century Gothic" w:cstheme="minorHAnsi"/>
          <w:sz w:val="20"/>
          <w:szCs w:val="20"/>
          <w:lang w:val="id-ID"/>
        </w:rPr>
      </w:pPr>
    </w:p>
    <w:p w14:paraId="2ABE1AE3" w14:textId="5C7F3857" w:rsidR="00695840" w:rsidRPr="00ED68E6" w:rsidRDefault="00ED5490" w:rsidP="00ED5490">
      <w:pPr>
        <w:spacing w:before="120"/>
        <w:rPr>
          <w:rFonts w:ascii="Century Gothic" w:hAnsi="Century Gothic"/>
          <w:b/>
          <w:sz w:val="20"/>
          <w:szCs w:val="20"/>
          <w:lang w:val="id-ID"/>
        </w:rPr>
      </w:pPr>
      <w:r w:rsidRPr="00ED68E6">
        <w:rPr>
          <w:rFonts w:ascii="Century Gothic" w:hAnsi="Century Gothic"/>
          <w:b/>
          <w:sz w:val="20"/>
          <w:szCs w:val="20"/>
          <w:lang w:val="id-ID"/>
        </w:rPr>
        <w:lastRenderedPageBreak/>
        <w:t>Tabel 2.</w:t>
      </w:r>
      <w:r w:rsidR="00695840" w:rsidRPr="00ED68E6">
        <w:rPr>
          <w:rFonts w:ascii="Century Gothic" w:hAnsi="Century Gothic"/>
          <w:b/>
          <w:sz w:val="20"/>
          <w:szCs w:val="20"/>
          <w:lang w:val="id-ID"/>
        </w:rPr>
        <w:t xml:space="preserve"> Indeks Kepuasan dan Kepentingan FTAC Agregat</w:t>
      </w:r>
    </w:p>
    <w:p w14:paraId="24C81498" w14:textId="77777777" w:rsidR="009638C5" w:rsidRPr="00ED68E6" w:rsidRDefault="009638C5" w:rsidP="00695840">
      <w:pPr>
        <w:rPr>
          <w:rFonts w:ascii="Century Gothic" w:hAnsi="Century Gothic"/>
          <w:sz w:val="20"/>
          <w:szCs w:val="20"/>
          <w:lang w:val="id-ID"/>
        </w:rPr>
      </w:pPr>
    </w:p>
    <w:tbl>
      <w:tblPr>
        <w:tblStyle w:val="PlainTable4"/>
        <w:tblW w:w="4871" w:type="pct"/>
        <w:tblLayout w:type="fixed"/>
        <w:tblLook w:val="04A0" w:firstRow="1" w:lastRow="0" w:firstColumn="1" w:lastColumn="0" w:noHBand="0" w:noVBand="1"/>
      </w:tblPr>
      <w:tblGrid>
        <w:gridCol w:w="567"/>
        <w:gridCol w:w="2127"/>
        <w:gridCol w:w="593"/>
        <w:gridCol w:w="593"/>
        <w:gridCol w:w="593"/>
      </w:tblGrid>
      <w:tr w:rsidR="009638C5" w:rsidRPr="00ED68E6" w14:paraId="03E32906" w14:textId="77777777" w:rsidTr="007579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67" w:type="dxa"/>
            <w:hideMark/>
          </w:tcPr>
          <w:p w14:paraId="4FFCFA38" w14:textId="77777777" w:rsidR="009638C5" w:rsidRPr="00ED68E6" w:rsidRDefault="009638C5" w:rsidP="00833AD6">
            <w:pPr>
              <w:pStyle w:val="NoSpacing"/>
              <w:rPr>
                <w:rFonts w:ascii="Century Gothic" w:hAnsi="Century Gothic"/>
                <w:sz w:val="16"/>
                <w:szCs w:val="16"/>
              </w:rPr>
            </w:pPr>
            <w:r w:rsidRPr="00ED68E6">
              <w:rPr>
                <w:rFonts w:ascii="Century Gothic" w:hAnsi="Century Gothic"/>
                <w:sz w:val="16"/>
                <w:szCs w:val="16"/>
              </w:rPr>
              <w:t>No</w:t>
            </w:r>
          </w:p>
        </w:tc>
        <w:tc>
          <w:tcPr>
            <w:tcW w:w="2127" w:type="dxa"/>
            <w:hideMark/>
          </w:tcPr>
          <w:p w14:paraId="371810C8" w14:textId="77777777" w:rsidR="009638C5" w:rsidRPr="00ED68E6" w:rsidRDefault="009638C5" w:rsidP="00833AD6">
            <w:pPr>
              <w:pStyle w:val="NoSpacing"/>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Aspek Layanan</w:t>
            </w:r>
          </w:p>
        </w:tc>
        <w:tc>
          <w:tcPr>
            <w:tcW w:w="593" w:type="dxa"/>
            <w:noWrap/>
            <w:vAlign w:val="center"/>
            <w:hideMark/>
          </w:tcPr>
          <w:p w14:paraId="3148ABB6" w14:textId="77777777" w:rsidR="009638C5" w:rsidRPr="00ED68E6" w:rsidRDefault="009638C5" w:rsidP="00833AD6">
            <w:pPr>
              <w:pStyle w:val="No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(1)</w:t>
            </w:r>
          </w:p>
        </w:tc>
        <w:tc>
          <w:tcPr>
            <w:tcW w:w="593" w:type="dxa"/>
            <w:noWrap/>
            <w:vAlign w:val="center"/>
            <w:hideMark/>
          </w:tcPr>
          <w:p w14:paraId="4BF043E7" w14:textId="77777777" w:rsidR="009638C5" w:rsidRPr="00ED68E6" w:rsidRDefault="009638C5" w:rsidP="00833AD6">
            <w:pPr>
              <w:pStyle w:val="No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(2)</w:t>
            </w:r>
          </w:p>
        </w:tc>
        <w:tc>
          <w:tcPr>
            <w:tcW w:w="593" w:type="dxa"/>
            <w:vAlign w:val="center"/>
          </w:tcPr>
          <w:p w14:paraId="5B69C624" w14:textId="77777777" w:rsidR="009638C5" w:rsidRPr="00ED68E6" w:rsidRDefault="009638C5" w:rsidP="00833AD6">
            <w:pPr>
              <w:pStyle w:val="NoSpacing"/>
              <w:jc w:val="center"/>
              <w:cnfStyle w:val="100000000000" w:firstRow="1" w:lastRow="0" w:firstColumn="0" w:lastColumn="0" w:oddVBand="0" w:evenVBand="0" w:oddHBand="0"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sym w:font="Symbol" w:char="F044"/>
            </w:r>
          </w:p>
        </w:tc>
      </w:tr>
      <w:tr w:rsidR="009638C5" w:rsidRPr="00ED68E6" w14:paraId="3B615350" w14:textId="77777777" w:rsidTr="007579C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noWrap/>
            <w:hideMark/>
          </w:tcPr>
          <w:p w14:paraId="3CA98BC5" w14:textId="77777777" w:rsidR="009638C5" w:rsidRPr="00ED68E6" w:rsidRDefault="009638C5" w:rsidP="00833AD6">
            <w:pPr>
              <w:pStyle w:val="NoSpacing"/>
              <w:rPr>
                <w:rFonts w:ascii="Century Gothic" w:hAnsi="Century Gothic"/>
                <w:b w:val="0"/>
                <w:sz w:val="16"/>
                <w:szCs w:val="16"/>
              </w:rPr>
            </w:pPr>
            <w:r w:rsidRPr="00ED68E6">
              <w:rPr>
                <w:rFonts w:ascii="Century Gothic" w:hAnsi="Century Gothic"/>
                <w:b w:val="0"/>
                <w:sz w:val="16"/>
                <w:szCs w:val="16"/>
              </w:rPr>
              <w:t>1</w:t>
            </w:r>
          </w:p>
        </w:tc>
        <w:tc>
          <w:tcPr>
            <w:tcW w:w="2127" w:type="dxa"/>
            <w:noWrap/>
            <w:hideMark/>
          </w:tcPr>
          <w:p w14:paraId="4F63CE12" w14:textId="77777777" w:rsidR="009638C5" w:rsidRPr="00ED68E6" w:rsidRDefault="009638C5" w:rsidP="00833AD6">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Keterbukaan/Kemudahan akses Layanan terhadap Informasi</w:t>
            </w:r>
          </w:p>
        </w:tc>
        <w:tc>
          <w:tcPr>
            <w:tcW w:w="593" w:type="dxa"/>
            <w:noWrap/>
            <w:vAlign w:val="center"/>
          </w:tcPr>
          <w:p w14:paraId="42E569A5"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color w:val="548235"/>
                <w:sz w:val="16"/>
                <w:szCs w:val="16"/>
              </w:rPr>
            </w:pPr>
            <w:r w:rsidRPr="00ED68E6">
              <w:rPr>
                <w:rFonts w:ascii="Century Gothic" w:eastAsia="Times New Roman" w:hAnsi="Century Gothic"/>
                <w:b/>
                <w:color w:val="548235"/>
                <w:sz w:val="16"/>
                <w:szCs w:val="16"/>
              </w:rPr>
              <w:t>4,41</w:t>
            </w:r>
          </w:p>
        </w:tc>
        <w:tc>
          <w:tcPr>
            <w:tcW w:w="593" w:type="dxa"/>
            <w:noWrap/>
            <w:vAlign w:val="center"/>
          </w:tcPr>
          <w:p w14:paraId="7612C85D"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000000"/>
                <w:sz w:val="16"/>
                <w:szCs w:val="16"/>
              </w:rPr>
            </w:pPr>
            <w:r w:rsidRPr="00ED68E6">
              <w:rPr>
                <w:rFonts w:ascii="Century Gothic" w:eastAsia="Times New Roman" w:hAnsi="Century Gothic"/>
                <w:color w:val="000000"/>
                <w:sz w:val="16"/>
                <w:szCs w:val="16"/>
              </w:rPr>
              <w:t>4,62</w:t>
            </w:r>
          </w:p>
        </w:tc>
        <w:tc>
          <w:tcPr>
            <w:tcW w:w="593" w:type="dxa"/>
            <w:vAlign w:val="center"/>
          </w:tcPr>
          <w:p w14:paraId="499D876E"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sz w:val="16"/>
                <w:szCs w:val="16"/>
              </w:rPr>
            </w:pPr>
            <w:r w:rsidRPr="00ED68E6">
              <w:rPr>
                <w:rFonts w:ascii="Century Gothic" w:hAnsi="Century Gothic"/>
                <w:color w:val="000000"/>
                <w:sz w:val="16"/>
                <w:szCs w:val="16"/>
              </w:rPr>
              <w:t>-0,21</w:t>
            </w:r>
          </w:p>
        </w:tc>
      </w:tr>
      <w:tr w:rsidR="009638C5" w:rsidRPr="00ED68E6" w14:paraId="32E5F077" w14:textId="77777777" w:rsidTr="007579C1">
        <w:trPr>
          <w:trHeight w:val="315"/>
        </w:trPr>
        <w:tc>
          <w:tcPr>
            <w:cnfStyle w:val="001000000000" w:firstRow="0" w:lastRow="0" w:firstColumn="1" w:lastColumn="0" w:oddVBand="0" w:evenVBand="0" w:oddHBand="0" w:evenHBand="0" w:firstRowFirstColumn="0" w:firstRowLastColumn="0" w:lastRowFirstColumn="0" w:lastRowLastColumn="0"/>
            <w:tcW w:w="567" w:type="dxa"/>
            <w:noWrap/>
            <w:hideMark/>
          </w:tcPr>
          <w:p w14:paraId="1FC6016D" w14:textId="77777777" w:rsidR="009638C5" w:rsidRPr="00ED68E6" w:rsidRDefault="009638C5" w:rsidP="00833AD6">
            <w:pPr>
              <w:pStyle w:val="NoSpacing"/>
              <w:rPr>
                <w:rFonts w:ascii="Century Gothic" w:hAnsi="Century Gothic"/>
                <w:b w:val="0"/>
                <w:sz w:val="16"/>
                <w:szCs w:val="16"/>
              </w:rPr>
            </w:pPr>
            <w:r w:rsidRPr="00ED68E6">
              <w:rPr>
                <w:rFonts w:ascii="Century Gothic" w:hAnsi="Century Gothic"/>
                <w:b w:val="0"/>
                <w:sz w:val="16"/>
                <w:szCs w:val="16"/>
              </w:rPr>
              <w:t>2</w:t>
            </w:r>
          </w:p>
        </w:tc>
        <w:tc>
          <w:tcPr>
            <w:tcW w:w="2127" w:type="dxa"/>
            <w:hideMark/>
          </w:tcPr>
          <w:p w14:paraId="0A317284" w14:textId="77777777" w:rsidR="009638C5" w:rsidRPr="00ED68E6" w:rsidRDefault="009638C5" w:rsidP="00833AD6">
            <w:pPr>
              <w:pStyle w:val="NoSpacing"/>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Informasi layanan</w:t>
            </w:r>
          </w:p>
        </w:tc>
        <w:tc>
          <w:tcPr>
            <w:tcW w:w="593" w:type="dxa"/>
            <w:noWrap/>
            <w:vAlign w:val="center"/>
          </w:tcPr>
          <w:p w14:paraId="2602E31C" w14:textId="77777777" w:rsidR="009638C5" w:rsidRPr="00ED68E6" w:rsidRDefault="009638C5" w:rsidP="00833AD6">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b/>
                <w:color w:val="2F75B5"/>
                <w:sz w:val="16"/>
                <w:szCs w:val="16"/>
              </w:rPr>
            </w:pPr>
            <w:r w:rsidRPr="00ED68E6">
              <w:rPr>
                <w:rFonts w:ascii="Century Gothic" w:eastAsia="Times New Roman" w:hAnsi="Century Gothic"/>
                <w:b/>
                <w:color w:val="2F75B5"/>
                <w:sz w:val="16"/>
                <w:szCs w:val="16"/>
              </w:rPr>
              <w:t>4,21</w:t>
            </w:r>
          </w:p>
        </w:tc>
        <w:tc>
          <w:tcPr>
            <w:tcW w:w="593" w:type="dxa"/>
            <w:noWrap/>
            <w:vAlign w:val="center"/>
          </w:tcPr>
          <w:p w14:paraId="57CF62A4" w14:textId="77777777" w:rsidR="009638C5" w:rsidRPr="00ED68E6" w:rsidRDefault="009638C5" w:rsidP="00833AD6">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000000"/>
                <w:sz w:val="16"/>
                <w:szCs w:val="16"/>
              </w:rPr>
            </w:pPr>
            <w:r w:rsidRPr="00ED68E6">
              <w:rPr>
                <w:rFonts w:ascii="Century Gothic" w:eastAsia="Times New Roman" w:hAnsi="Century Gothic"/>
                <w:color w:val="000000"/>
                <w:sz w:val="16"/>
                <w:szCs w:val="16"/>
              </w:rPr>
              <w:t>4,28</w:t>
            </w:r>
          </w:p>
        </w:tc>
        <w:tc>
          <w:tcPr>
            <w:tcW w:w="593" w:type="dxa"/>
            <w:vAlign w:val="center"/>
          </w:tcPr>
          <w:p w14:paraId="4A0813A1" w14:textId="77777777" w:rsidR="009638C5" w:rsidRPr="00ED68E6" w:rsidRDefault="009638C5" w:rsidP="00833AD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16"/>
                <w:szCs w:val="16"/>
              </w:rPr>
            </w:pPr>
            <w:r w:rsidRPr="00ED68E6">
              <w:rPr>
                <w:rFonts w:ascii="Century Gothic" w:hAnsi="Century Gothic"/>
                <w:color w:val="000000"/>
                <w:sz w:val="16"/>
                <w:szCs w:val="16"/>
              </w:rPr>
              <w:t>-0,08</w:t>
            </w:r>
          </w:p>
        </w:tc>
      </w:tr>
      <w:tr w:rsidR="009638C5" w:rsidRPr="00ED68E6" w14:paraId="0A5DE8A7" w14:textId="77777777" w:rsidTr="007579C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noWrap/>
            <w:hideMark/>
          </w:tcPr>
          <w:p w14:paraId="3A46CB10" w14:textId="77777777" w:rsidR="009638C5" w:rsidRPr="00ED68E6" w:rsidRDefault="009638C5" w:rsidP="00833AD6">
            <w:pPr>
              <w:pStyle w:val="NoSpacing"/>
              <w:rPr>
                <w:rFonts w:ascii="Century Gothic" w:hAnsi="Century Gothic"/>
                <w:b w:val="0"/>
                <w:sz w:val="16"/>
                <w:szCs w:val="16"/>
              </w:rPr>
            </w:pPr>
            <w:r w:rsidRPr="00ED68E6">
              <w:rPr>
                <w:rFonts w:ascii="Century Gothic" w:hAnsi="Century Gothic"/>
                <w:b w:val="0"/>
                <w:sz w:val="16"/>
                <w:szCs w:val="16"/>
              </w:rPr>
              <w:t>3</w:t>
            </w:r>
          </w:p>
        </w:tc>
        <w:tc>
          <w:tcPr>
            <w:tcW w:w="2127" w:type="dxa"/>
            <w:hideMark/>
          </w:tcPr>
          <w:p w14:paraId="48E909BE" w14:textId="77777777" w:rsidR="009638C5" w:rsidRPr="00ED68E6" w:rsidRDefault="009638C5" w:rsidP="00833AD6">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Sikap tenaga ahli</w:t>
            </w:r>
          </w:p>
        </w:tc>
        <w:tc>
          <w:tcPr>
            <w:tcW w:w="593" w:type="dxa"/>
            <w:noWrap/>
            <w:vAlign w:val="center"/>
          </w:tcPr>
          <w:p w14:paraId="2F278B33"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color w:val="548235"/>
                <w:sz w:val="16"/>
                <w:szCs w:val="16"/>
              </w:rPr>
            </w:pPr>
            <w:r w:rsidRPr="00ED68E6">
              <w:rPr>
                <w:rFonts w:ascii="Century Gothic" w:eastAsia="Times New Roman" w:hAnsi="Century Gothic"/>
                <w:b/>
                <w:color w:val="548235"/>
                <w:sz w:val="16"/>
                <w:szCs w:val="16"/>
              </w:rPr>
              <w:t>4,71</w:t>
            </w:r>
          </w:p>
        </w:tc>
        <w:tc>
          <w:tcPr>
            <w:tcW w:w="593" w:type="dxa"/>
            <w:noWrap/>
            <w:vAlign w:val="center"/>
          </w:tcPr>
          <w:p w14:paraId="1B1400D1"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000000"/>
                <w:sz w:val="16"/>
                <w:szCs w:val="16"/>
              </w:rPr>
            </w:pPr>
            <w:r w:rsidRPr="00ED68E6">
              <w:rPr>
                <w:rFonts w:ascii="Century Gothic" w:eastAsia="Times New Roman" w:hAnsi="Century Gothic"/>
                <w:color w:val="000000"/>
                <w:sz w:val="16"/>
                <w:szCs w:val="16"/>
              </w:rPr>
              <w:t>4,77</w:t>
            </w:r>
          </w:p>
        </w:tc>
        <w:tc>
          <w:tcPr>
            <w:tcW w:w="593" w:type="dxa"/>
            <w:vAlign w:val="center"/>
          </w:tcPr>
          <w:p w14:paraId="69700ADE"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sz w:val="16"/>
                <w:szCs w:val="16"/>
              </w:rPr>
            </w:pPr>
            <w:r w:rsidRPr="00ED68E6">
              <w:rPr>
                <w:rFonts w:ascii="Century Gothic" w:hAnsi="Century Gothic"/>
                <w:color w:val="000000"/>
                <w:sz w:val="16"/>
                <w:szCs w:val="16"/>
              </w:rPr>
              <w:t>-0,06</w:t>
            </w:r>
          </w:p>
        </w:tc>
      </w:tr>
      <w:tr w:rsidR="009638C5" w:rsidRPr="00ED68E6" w14:paraId="2BC3B73E" w14:textId="77777777" w:rsidTr="007579C1">
        <w:trPr>
          <w:trHeight w:val="315"/>
        </w:trPr>
        <w:tc>
          <w:tcPr>
            <w:cnfStyle w:val="001000000000" w:firstRow="0" w:lastRow="0" w:firstColumn="1" w:lastColumn="0" w:oddVBand="0" w:evenVBand="0" w:oddHBand="0" w:evenHBand="0" w:firstRowFirstColumn="0" w:firstRowLastColumn="0" w:lastRowFirstColumn="0" w:lastRowLastColumn="0"/>
            <w:tcW w:w="567" w:type="dxa"/>
            <w:noWrap/>
            <w:hideMark/>
          </w:tcPr>
          <w:p w14:paraId="4FB307C3" w14:textId="77777777" w:rsidR="009638C5" w:rsidRPr="00ED68E6" w:rsidRDefault="009638C5" w:rsidP="00833AD6">
            <w:pPr>
              <w:pStyle w:val="NoSpacing"/>
              <w:rPr>
                <w:rFonts w:ascii="Century Gothic" w:hAnsi="Century Gothic"/>
                <w:b w:val="0"/>
                <w:sz w:val="16"/>
                <w:szCs w:val="16"/>
              </w:rPr>
            </w:pPr>
            <w:r w:rsidRPr="00ED68E6">
              <w:rPr>
                <w:rFonts w:ascii="Century Gothic" w:hAnsi="Century Gothic"/>
                <w:b w:val="0"/>
                <w:sz w:val="16"/>
                <w:szCs w:val="16"/>
              </w:rPr>
              <w:t>4</w:t>
            </w:r>
          </w:p>
        </w:tc>
        <w:tc>
          <w:tcPr>
            <w:tcW w:w="2127" w:type="dxa"/>
            <w:noWrap/>
            <w:hideMark/>
          </w:tcPr>
          <w:p w14:paraId="223DAD6A" w14:textId="77777777" w:rsidR="009638C5" w:rsidRPr="00ED68E6" w:rsidRDefault="009638C5" w:rsidP="00833AD6">
            <w:pPr>
              <w:pStyle w:val="NoSpacing"/>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Kemampuan dan keterampilan tenaga ahli</w:t>
            </w:r>
          </w:p>
        </w:tc>
        <w:tc>
          <w:tcPr>
            <w:tcW w:w="593" w:type="dxa"/>
            <w:noWrap/>
            <w:vAlign w:val="center"/>
          </w:tcPr>
          <w:p w14:paraId="333292BA" w14:textId="77777777" w:rsidR="009638C5" w:rsidRPr="00ED68E6" w:rsidRDefault="009638C5" w:rsidP="00833AD6">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b/>
                <w:color w:val="548235"/>
                <w:sz w:val="16"/>
                <w:szCs w:val="16"/>
              </w:rPr>
            </w:pPr>
            <w:r w:rsidRPr="00ED68E6">
              <w:rPr>
                <w:rFonts w:ascii="Century Gothic" w:eastAsia="Times New Roman" w:hAnsi="Century Gothic"/>
                <w:b/>
                <w:color w:val="548235"/>
                <w:sz w:val="16"/>
                <w:szCs w:val="16"/>
              </w:rPr>
              <w:t>4,50</w:t>
            </w:r>
          </w:p>
        </w:tc>
        <w:tc>
          <w:tcPr>
            <w:tcW w:w="593" w:type="dxa"/>
            <w:noWrap/>
            <w:vAlign w:val="center"/>
          </w:tcPr>
          <w:p w14:paraId="3633AD88" w14:textId="77777777" w:rsidR="009638C5" w:rsidRPr="00ED68E6" w:rsidRDefault="009638C5" w:rsidP="00833AD6">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000000"/>
                <w:sz w:val="16"/>
                <w:szCs w:val="16"/>
              </w:rPr>
            </w:pPr>
            <w:r w:rsidRPr="00ED68E6">
              <w:rPr>
                <w:rFonts w:ascii="Century Gothic" w:eastAsia="Times New Roman" w:hAnsi="Century Gothic"/>
                <w:color w:val="000000"/>
                <w:sz w:val="16"/>
                <w:szCs w:val="16"/>
              </w:rPr>
              <w:t>4,59</w:t>
            </w:r>
          </w:p>
        </w:tc>
        <w:tc>
          <w:tcPr>
            <w:tcW w:w="593" w:type="dxa"/>
            <w:vAlign w:val="center"/>
          </w:tcPr>
          <w:p w14:paraId="77950A94" w14:textId="77777777" w:rsidR="009638C5" w:rsidRPr="00ED68E6" w:rsidRDefault="009638C5" w:rsidP="00833AD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16"/>
                <w:szCs w:val="16"/>
              </w:rPr>
            </w:pPr>
            <w:r w:rsidRPr="00ED68E6">
              <w:rPr>
                <w:rFonts w:ascii="Century Gothic" w:hAnsi="Century Gothic"/>
                <w:color w:val="000000"/>
                <w:sz w:val="16"/>
                <w:szCs w:val="16"/>
              </w:rPr>
              <w:t>-0,09</w:t>
            </w:r>
          </w:p>
        </w:tc>
      </w:tr>
      <w:tr w:rsidR="009638C5" w:rsidRPr="00ED68E6" w14:paraId="566A6766" w14:textId="77777777" w:rsidTr="007579C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noWrap/>
            <w:hideMark/>
          </w:tcPr>
          <w:p w14:paraId="0E599985" w14:textId="77777777" w:rsidR="009638C5" w:rsidRPr="00ED68E6" w:rsidRDefault="009638C5" w:rsidP="00833AD6">
            <w:pPr>
              <w:pStyle w:val="NoSpacing"/>
              <w:rPr>
                <w:rFonts w:ascii="Century Gothic" w:hAnsi="Century Gothic"/>
                <w:b w:val="0"/>
                <w:sz w:val="16"/>
                <w:szCs w:val="16"/>
              </w:rPr>
            </w:pPr>
            <w:r w:rsidRPr="00ED68E6">
              <w:rPr>
                <w:rFonts w:ascii="Century Gothic" w:hAnsi="Century Gothic"/>
                <w:b w:val="0"/>
                <w:sz w:val="16"/>
                <w:szCs w:val="16"/>
              </w:rPr>
              <w:t>5</w:t>
            </w:r>
          </w:p>
        </w:tc>
        <w:tc>
          <w:tcPr>
            <w:tcW w:w="2127" w:type="dxa"/>
            <w:hideMark/>
          </w:tcPr>
          <w:p w14:paraId="1E634E8C" w14:textId="77777777" w:rsidR="009638C5" w:rsidRPr="00ED68E6" w:rsidRDefault="009638C5" w:rsidP="00833AD6">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 xml:space="preserve">Lingkungan pendukung </w:t>
            </w:r>
          </w:p>
        </w:tc>
        <w:tc>
          <w:tcPr>
            <w:tcW w:w="593" w:type="dxa"/>
            <w:noWrap/>
            <w:vAlign w:val="center"/>
          </w:tcPr>
          <w:p w14:paraId="62C9126B"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color w:val="2F75B5"/>
                <w:sz w:val="16"/>
                <w:szCs w:val="16"/>
              </w:rPr>
            </w:pPr>
            <w:r w:rsidRPr="00ED68E6">
              <w:rPr>
                <w:rFonts w:ascii="Century Gothic" w:eastAsia="Times New Roman" w:hAnsi="Century Gothic"/>
                <w:b/>
                <w:color w:val="2F75B5"/>
                <w:sz w:val="16"/>
                <w:szCs w:val="16"/>
              </w:rPr>
              <w:t>4,17</w:t>
            </w:r>
          </w:p>
        </w:tc>
        <w:tc>
          <w:tcPr>
            <w:tcW w:w="593" w:type="dxa"/>
            <w:noWrap/>
            <w:vAlign w:val="center"/>
          </w:tcPr>
          <w:p w14:paraId="56D4909A"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000000"/>
                <w:sz w:val="16"/>
                <w:szCs w:val="16"/>
              </w:rPr>
            </w:pPr>
            <w:r w:rsidRPr="00ED68E6">
              <w:rPr>
                <w:rFonts w:ascii="Century Gothic" w:eastAsia="Times New Roman" w:hAnsi="Century Gothic"/>
                <w:color w:val="000000"/>
                <w:sz w:val="16"/>
                <w:szCs w:val="16"/>
              </w:rPr>
              <w:t>4,42</w:t>
            </w:r>
          </w:p>
        </w:tc>
        <w:tc>
          <w:tcPr>
            <w:tcW w:w="593" w:type="dxa"/>
            <w:vAlign w:val="center"/>
          </w:tcPr>
          <w:p w14:paraId="33BC35D8"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sz w:val="16"/>
                <w:szCs w:val="16"/>
              </w:rPr>
            </w:pPr>
            <w:r w:rsidRPr="00ED68E6">
              <w:rPr>
                <w:rFonts w:ascii="Century Gothic" w:hAnsi="Century Gothic"/>
                <w:color w:val="000000"/>
                <w:sz w:val="16"/>
                <w:szCs w:val="16"/>
              </w:rPr>
              <w:t>-0,24</w:t>
            </w:r>
          </w:p>
        </w:tc>
      </w:tr>
      <w:tr w:rsidR="009638C5" w:rsidRPr="00ED68E6" w14:paraId="3074AC0C" w14:textId="77777777" w:rsidTr="007579C1">
        <w:trPr>
          <w:trHeight w:val="315"/>
        </w:trPr>
        <w:tc>
          <w:tcPr>
            <w:cnfStyle w:val="001000000000" w:firstRow="0" w:lastRow="0" w:firstColumn="1" w:lastColumn="0" w:oddVBand="0" w:evenVBand="0" w:oddHBand="0" w:evenHBand="0" w:firstRowFirstColumn="0" w:firstRowLastColumn="0" w:lastRowFirstColumn="0" w:lastRowLastColumn="0"/>
            <w:tcW w:w="567" w:type="dxa"/>
            <w:noWrap/>
            <w:hideMark/>
          </w:tcPr>
          <w:p w14:paraId="4B0D9C48" w14:textId="77777777" w:rsidR="009638C5" w:rsidRPr="00ED68E6" w:rsidRDefault="009638C5" w:rsidP="00833AD6">
            <w:pPr>
              <w:pStyle w:val="NoSpacing"/>
              <w:rPr>
                <w:rFonts w:ascii="Century Gothic" w:hAnsi="Century Gothic"/>
                <w:b w:val="0"/>
                <w:sz w:val="16"/>
                <w:szCs w:val="16"/>
              </w:rPr>
            </w:pPr>
            <w:r w:rsidRPr="00ED68E6">
              <w:rPr>
                <w:rFonts w:ascii="Century Gothic" w:hAnsi="Century Gothic"/>
                <w:b w:val="0"/>
                <w:sz w:val="16"/>
                <w:szCs w:val="16"/>
              </w:rPr>
              <w:t>6</w:t>
            </w:r>
          </w:p>
        </w:tc>
        <w:tc>
          <w:tcPr>
            <w:tcW w:w="2127" w:type="dxa"/>
            <w:noWrap/>
            <w:hideMark/>
          </w:tcPr>
          <w:p w14:paraId="64314308" w14:textId="77777777" w:rsidR="009638C5" w:rsidRPr="00ED68E6" w:rsidRDefault="009638C5" w:rsidP="00833AD6">
            <w:pPr>
              <w:pStyle w:val="NoSpacing"/>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 xml:space="preserve">Akses terhadap layanan </w:t>
            </w:r>
          </w:p>
        </w:tc>
        <w:tc>
          <w:tcPr>
            <w:tcW w:w="593" w:type="dxa"/>
            <w:noWrap/>
            <w:vAlign w:val="center"/>
          </w:tcPr>
          <w:p w14:paraId="50E571AE" w14:textId="77777777" w:rsidR="009638C5" w:rsidRPr="00ED68E6" w:rsidRDefault="009638C5" w:rsidP="00833AD6">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b/>
                <w:color w:val="548235"/>
                <w:sz w:val="16"/>
                <w:szCs w:val="16"/>
              </w:rPr>
            </w:pPr>
            <w:r w:rsidRPr="00ED68E6">
              <w:rPr>
                <w:rFonts w:ascii="Century Gothic" w:eastAsia="Times New Roman" w:hAnsi="Century Gothic"/>
                <w:b/>
                <w:color w:val="548235"/>
                <w:sz w:val="16"/>
                <w:szCs w:val="16"/>
              </w:rPr>
              <w:t>4,38</w:t>
            </w:r>
          </w:p>
        </w:tc>
        <w:tc>
          <w:tcPr>
            <w:tcW w:w="593" w:type="dxa"/>
            <w:noWrap/>
            <w:vAlign w:val="center"/>
          </w:tcPr>
          <w:p w14:paraId="0D471002" w14:textId="77777777" w:rsidR="009638C5" w:rsidRPr="00ED68E6" w:rsidRDefault="009638C5" w:rsidP="00833AD6">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000000"/>
                <w:sz w:val="16"/>
                <w:szCs w:val="16"/>
              </w:rPr>
            </w:pPr>
            <w:r w:rsidRPr="00ED68E6">
              <w:rPr>
                <w:rFonts w:ascii="Century Gothic" w:eastAsia="Times New Roman" w:hAnsi="Century Gothic"/>
                <w:color w:val="000000"/>
                <w:sz w:val="16"/>
                <w:szCs w:val="16"/>
              </w:rPr>
              <w:t>4,60</w:t>
            </w:r>
          </w:p>
        </w:tc>
        <w:tc>
          <w:tcPr>
            <w:tcW w:w="593" w:type="dxa"/>
            <w:vAlign w:val="center"/>
          </w:tcPr>
          <w:p w14:paraId="7A3DD080" w14:textId="77777777" w:rsidR="009638C5" w:rsidRPr="00ED68E6" w:rsidRDefault="009638C5" w:rsidP="00833AD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16"/>
                <w:szCs w:val="16"/>
              </w:rPr>
            </w:pPr>
            <w:r w:rsidRPr="00ED68E6">
              <w:rPr>
                <w:rFonts w:ascii="Century Gothic" w:hAnsi="Century Gothic"/>
                <w:color w:val="000000"/>
                <w:sz w:val="16"/>
                <w:szCs w:val="16"/>
              </w:rPr>
              <w:t>-0,22</w:t>
            </w:r>
          </w:p>
        </w:tc>
      </w:tr>
      <w:tr w:rsidR="009638C5" w:rsidRPr="00ED68E6" w14:paraId="1F4D872E" w14:textId="77777777" w:rsidTr="007579C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noWrap/>
            <w:hideMark/>
          </w:tcPr>
          <w:p w14:paraId="06F9116B" w14:textId="77777777" w:rsidR="009638C5" w:rsidRPr="00ED68E6" w:rsidRDefault="009638C5" w:rsidP="00833AD6">
            <w:pPr>
              <w:pStyle w:val="NoSpacing"/>
              <w:rPr>
                <w:rFonts w:ascii="Century Gothic" w:hAnsi="Century Gothic"/>
                <w:b w:val="0"/>
                <w:sz w:val="16"/>
                <w:szCs w:val="16"/>
              </w:rPr>
            </w:pPr>
            <w:r w:rsidRPr="00ED68E6">
              <w:rPr>
                <w:rFonts w:ascii="Century Gothic" w:hAnsi="Century Gothic"/>
                <w:b w:val="0"/>
                <w:sz w:val="16"/>
                <w:szCs w:val="16"/>
              </w:rPr>
              <w:t>7</w:t>
            </w:r>
          </w:p>
        </w:tc>
        <w:tc>
          <w:tcPr>
            <w:tcW w:w="2127" w:type="dxa"/>
            <w:noWrap/>
            <w:hideMark/>
          </w:tcPr>
          <w:p w14:paraId="1C1DED2C" w14:textId="77777777" w:rsidR="009638C5" w:rsidRPr="00ED68E6" w:rsidRDefault="009638C5" w:rsidP="00833AD6">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Waktu penyelesaian layanan</w:t>
            </w:r>
          </w:p>
        </w:tc>
        <w:tc>
          <w:tcPr>
            <w:tcW w:w="593" w:type="dxa"/>
            <w:noWrap/>
            <w:vAlign w:val="center"/>
          </w:tcPr>
          <w:p w14:paraId="43206669"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color w:val="2F75B5"/>
                <w:sz w:val="16"/>
                <w:szCs w:val="16"/>
              </w:rPr>
            </w:pPr>
            <w:r w:rsidRPr="00ED68E6">
              <w:rPr>
                <w:rFonts w:ascii="Century Gothic" w:eastAsia="Times New Roman" w:hAnsi="Century Gothic"/>
                <w:b/>
                <w:color w:val="2F75B5"/>
                <w:sz w:val="16"/>
                <w:szCs w:val="16"/>
              </w:rPr>
              <w:t>4,36</w:t>
            </w:r>
          </w:p>
        </w:tc>
        <w:tc>
          <w:tcPr>
            <w:tcW w:w="593" w:type="dxa"/>
            <w:noWrap/>
            <w:vAlign w:val="center"/>
          </w:tcPr>
          <w:p w14:paraId="4D05912D"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000000"/>
                <w:sz w:val="16"/>
                <w:szCs w:val="16"/>
              </w:rPr>
            </w:pPr>
            <w:r w:rsidRPr="00ED68E6">
              <w:rPr>
                <w:rFonts w:ascii="Century Gothic" w:eastAsia="Times New Roman" w:hAnsi="Century Gothic"/>
                <w:color w:val="000000"/>
                <w:sz w:val="16"/>
                <w:szCs w:val="16"/>
              </w:rPr>
              <w:t>4,43</w:t>
            </w:r>
          </w:p>
        </w:tc>
        <w:tc>
          <w:tcPr>
            <w:tcW w:w="593" w:type="dxa"/>
            <w:vAlign w:val="center"/>
          </w:tcPr>
          <w:p w14:paraId="699F4CAD"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sz w:val="16"/>
                <w:szCs w:val="16"/>
              </w:rPr>
            </w:pPr>
            <w:r w:rsidRPr="00ED68E6">
              <w:rPr>
                <w:rFonts w:ascii="Century Gothic" w:hAnsi="Century Gothic"/>
                <w:color w:val="000000"/>
                <w:sz w:val="16"/>
                <w:szCs w:val="16"/>
              </w:rPr>
              <w:t>-0,07</w:t>
            </w:r>
          </w:p>
        </w:tc>
      </w:tr>
      <w:tr w:rsidR="009638C5" w:rsidRPr="00ED68E6" w14:paraId="447A36A7" w14:textId="77777777" w:rsidTr="007579C1">
        <w:trPr>
          <w:trHeight w:val="315"/>
        </w:trPr>
        <w:tc>
          <w:tcPr>
            <w:cnfStyle w:val="001000000000" w:firstRow="0" w:lastRow="0" w:firstColumn="1" w:lastColumn="0" w:oddVBand="0" w:evenVBand="0" w:oddHBand="0" w:evenHBand="0" w:firstRowFirstColumn="0" w:firstRowLastColumn="0" w:lastRowFirstColumn="0" w:lastRowLastColumn="0"/>
            <w:tcW w:w="567" w:type="dxa"/>
            <w:noWrap/>
            <w:hideMark/>
          </w:tcPr>
          <w:p w14:paraId="7C47ACA0" w14:textId="77777777" w:rsidR="009638C5" w:rsidRPr="00ED68E6" w:rsidRDefault="009638C5" w:rsidP="00833AD6">
            <w:pPr>
              <w:pStyle w:val="NoSpacing"/>
              <w:rPr>
                <w:rFonts w:ascii="Century Gothic" w:hAnsi="Century Gothic"/>
                <w:b w:val="0"/>
                <w:sz w:val="16"/>
                <w:szCs w:val="16"/>
              </w:rPr>
            </w:pPr>
            <w:r w:rsidRPr="00ED68E6">
              <w:rPr>
                <w:rFonts w:ascii="Century Gothic" w:hAnsi="Century Gothic"/>
                <w:b w:val="0"/>
                <w:sz w:val="16"/>
                <w:szCs w:val="16"/>
              </w:rPr>
              <w:t>8</w:t>
            </w:r>
          </w:p>
        </w:tc>
        <w:tc>
          <w:tcPr>
            <w:tcW w:w="2127" w:type="dxa"/>
            <w:noWrap/>
            <w:hideMark/>
          </w:tcPr>
          <w:p w14:paraId="64B669D0" w14:textId="77777777" w:rsidR="009638C5" w:rsidRPr="00ED68E6" w:rsidRDefault="009638C5" w:rsidP="00833AD6">
            <w:pPr>
              <w:pStyle w:val="NoSpacing"/>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Keefektivan dan efisiensi layanan</w:t>
            </w:r>
          </w:p>
        </w:tc>
        <w:tc>
          <w:tcPr>
            <w:tcW w:w="593" w:type="dxa"/>
            <w:noWrap/>
            <w:vAlign w:val="center"/>
          </w:tcPr>
          <w:p w14:paraId="45063BC9" w14:textId="77777777" w:rsidR="009638C5" w:rsidRPr="00ED68E6" w:rsidRDefault="009638C5" w:rsidP="00833AD6">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b/>
                <w:color w:val="2F75B5"/>
                <w:sz w:val="16"/>
                <w:szCs w:val="16"/>
              </w:rPr>
            </w:pPr>
            <w:r w:rsidRPr="00ED68E6">
              <w:rPr>
                <w:rFonts w:ascii="Century Gothic" w:eastAsia="Times New Roman" w:hAnsi="Century Gothic"/>
                <w:b/>
                <w:color w:val="2F75B5"/>
                <w:sz w:val="16"/>
                <w:szCs w:val="16"/>
              </w:rPr>
              <w:t>4,33</w:t>
            </w:r>
          </w:p>
        </w:tc>
        <w:tc>
          <w:tcPr>
            <w:tcW w:w="593" w:type="dxa"/>
            <w:noWrap/>
            <w:vAlign w:val="center"/>
          </w:tcPr>
          <w:p w14:paraId="1B306517" w14:textId="77777777" w:rsidR="009638C5" w:rsidRPr="00ED68E6" w:rsidRDefault="009638C5" w:rsidP="00833AD6">
            <w:pPr>
              <w:jc w:val="center"/>
              <w:cnfStyle w:val="000000000000" w:firstRow="0" w:lastRow="0" w:firstColumn="0" w:lastColumn="0" w:oddVBand="0" w:evenVBand="0" w:oddHBand="0" w:evenHBand="0" w:firstRowFirstColumn="0" w:firstRowLastColumn="0" w:lastRowFirstColumn="0" w:lastRowLastColumn="0"/>
              <w:rPr>
                <w:rFonts w:ascii="Century Gothic" w:eastAsia="Times New Roman" w:hAnsi="Century Gothic"/>
                <w:color w:val="000000"/>
                <w:sz w:val="16"/>
                <w:szCs w:val="16"/>
              </w:rPr>
            </w:pPr>
            <w:r w:rsidRPr="00ED68E6">
              <w:rPr>
                <w:rFonts w:ascii="Century Gothic" w:eastAsia="Times New Roman" w:hAnsi="Century Gothic"/>
                <w:color w:val="000000"/>
                <w:sz w:val="16"/>
                <w:szCs w:val="16"/>
              </w:rPr>
              <w:t>4,66</w:t>
            </w:r>
          </w:p>
        </w:tc>
        <w:tc>
          <w:tcPr>
            <w:tcW w:w="593" w:type="dxa"/>
            <w:vAlign w:val="center"/>
          </w:tcPr>
          <w:p w14:paraId="2AA2D961" w14:textId="77777777" w:rsidR="009638C5" w:rsidRPr="00ED68E6" w:rsidRDefault="009638C5" w:rsidP="00833AD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16"/>
                <w:szCs w:val="16"/>
              </w:rPr>
            </w:pPr>
            <w:r w:rsidRPr="00ED68E6">
              <w:rPr>
                <w:rFonts w:ascii="Century Gothic" w:hAnsi="Century Gothic"/>
                <w:color w:val="000000"/>
                <w:sz w:val="16"/>
                <w:szCs w:val="16"/>
              </w:rPr>
              <w:t>-0,33</w:t>
            </w:r>
          </w:p>
        </w:tc>
      </w:tr>
      <w:tr w:rsidR="009638C5" w:rsidRPr="00ED68E6" w14:paraId="192C7F44" w14:textId="77777777" w:rsidTr="007579C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67" w:type="dxa"/>
            <w:noWrap/>
            <w:hideMark/>
          </w:tcPr>
          <w:p w14:paraId="1F8F8B66" w14:textId="77777777" w:rsidR="009638C5" w:rsidRPr="00ED68E6" w:rsidRDefault="009638C5" w:rsidP="00833AD6">
            <w:pPr>
              <w:pStyle w:val="NoSpacing"/>
              <w:rPr>
                <w:rFonts w:ascii="Century Gothic" w:hAnsi="Century Gothic"/>
                <w:b w:val="0"/>
                <w:sz w:val="16"/>
                <w:szCs w:val="16"/>
              </w:rPr>
            </w:pPr>
            <w:r w:rsidRPr="00ED68E6">
              <w:rPr>
                <w:rFonts w:ascii="Century Gothic" w:hAnsi="Century Gothic"/>
                <w:b w:val="0"/>
                <w:sz w:val="16"/>
                <w:szCs w:val="16"/>
              </w:rPr>
              <w:t>9</w:t>
            </w:r>
          </w:p>
        </w:tc>
        <w:tc>
          <w:tcPr>
            <w:tcW w:w="2127" w:type="dxa"/>
            <w:noWrap/>
            <w:hideMark/>
          </w:tcPr>
          <w:p w14:paraId="60E37CA7" w14:textId="77777777" w:rsidR="009638C5" w:rsidRPr="00ED68E6" w:rsidRDefault="009638C5" w:rsidP="00833AD6">
            <w:pPr>
              <w:pStyle w:val="NoSpacing"/>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 xml:space="preserve">Aspek penanganan keluhan </w:t>
            </w:r>
          </w:p>
        </w:tc>
        <w:tc>
          <w:tcPr>
            <w:tcW w:w="593" w:type="dxa"/>
            <w:noWrap/>
            <w:vAlign w:val="center"/>
          </w:tcPr>
          <w:p w14:paraId="12320024"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b/>
                <w:color w:val="2F75B5"/>
                <w:sz w:val="16"/>
                <w:szCs w:val="16"/>
              </w:rPr>
            </w:pPr>
            <w:r w:rsidRPr="00ED68E6">
              <w:rPr>
                <w:rFonts w:ascii="Century Gothic" w:eastAsia="Times New Roman" w:hAnsi="Century Gothic"/>
                <w:b/>
                <w:color w:val="2F75B5"/>
                <w:sz w:val="16"/>
                <w:szCs w:val="16"/>
              </w:rPr>
              <w:t>4,32</w:t>
            </w:r>
          </w:p>
        </w:tc>
        <w:tc>
          <w:tcPr>
            <w:tcW w:w="593" w:type="dxa"/>
            <w:noWrap/>
            <w:vAlign w:val="center"/>
          </w:tcPr>
          <w:p w14:paraId="233C2704"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eastAsia="Times New Roman" w:hAnsi="Century Gothic"/>
                <w:color w:val="000000"/>
                <w:sz w:val="16"/>
                <w:szCs w:val="16"/>
              </w:rPr>
            </w:pPr>
            <w:r w:rsidRPr="00ED68E6">
              <w:rPr>
                <w:rFonts w:ascii="Century Gothic" w:eastAsia="Times New Roman" w:hAnsi="Century Gothic"/>
                <w:color w:val="000000"/>
                <w:sz w:val="16"/>
                <w:szCs w:val="16"/>
              </w:rPr>
              <w:t>4,63</w:t>
            </w:r>
          </w:p>
        </w:tc>
        <w:tc>
          <w:tcPr>
            <w:tcW w:w="593" w:type="dxa"/>
            <w:vAlign w:val="center"/>
          </w:tcPr>
          <w:p w14:paraId="55B1984C"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000000"/>
                <w:sz w:val="16"/>
                <w:szCs w:val="16"/>
              </w:rPr>
            </w:pPr>
            <w:r w:rsidRPr="00ED68E6">
              <w:rPr>
                <w:rFonts w:ascii="Century Gothic" w:hAnsi="Century Gothic"/>
                <w:color w:val="000000"/>
                <w:sz w:val="16"/>
                <w:szCs w:val="16"/>
              </w:rPr>
              <w:t>-0,31</w:t>
            </w:r>
          </w:p>
        </w:tc>
      </w:tr>
      <w:tr w:rsidR="009638C5" w:rsidRPr="00ED68E6" w14:paraId="64FB0473" w14:textId="77777777" w:rsidTr="007579C1">
        <w:trPr>
          <w:trHeight w:val="300"/>
        </w:trPr>
        <w:tc>
          <w:tcPr>
            <w:cnfStyle w:val="001000000000" w:firstRow="0" w:lastRow="0" w:firstColumn="1" w:lastColumn="0" w:oddVBand="0" w:evenVBand="0" w:oddHBand="0" w:evenHBand="0" w:firstRowFirstColumn="0" w:firstRowLastColumn="0" w:lastRowFirstColumn="0" w:lastRowLastColumn="0"/>
            <w:tcW w:w="567" w:type="dxa"/>
            <w:noWrap/>
            <w:hideMark/>
          </w:tcPr>
          <w:p w14:paraId="5B1B1D82" w14:textId="77777777" w:rsidR="009638C5" w:rsidRPr="00ED68E6" w:rsidRDefault="009638C5" w:rsidP="00833AD6">
            <w:pPr>
              <w:pStyle w:val="NoSpacing"/>
              <w:rPr>
                <w:rFonts w:ascii="Century Gothic" w:hAnsi="Century Gothic"/>
                <w:b w:val="0"/>
                <w:sz w:val="16"/>
                <w:szCs w:val="16"/>
              </w:rPr>
            </w:pPr>
            <w:r w:rsidRPr="00ED68E6">
              <w:rPr>
                <w:rFonts w:ascii="Century Gothic" w:hAnsi="Century Gothic"/>
                <w:b w:val="0"/>
                <w:sz w:val="16"/>
                <w:szCs w:val="16"/>
              </w:rPr>
              <w:t>10</w:t>
            </w:r>
          </w:p>
        </w:tc>
        <w:tc>
          <w:tcPr>
            <w:tcW w:w="2127" w:type="dxa"/>
            <w:noWrap/>
            <w:hideMark/>
          </w:tcPr>
          <w:p w14:paraId="3A47DAD8" w14:textId="77777777" w:rsidR="009638C5" w:rsidRPr="00ED68E6" w:rsidRDefault="009638C5" w:rsidP="00833AD6">
            <w:pPr>
              <w:pStyle w:val="NoSpacing"/>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Kepuasan keseluruhan</w:t>
            </w:r>
          </w:p>
        </w:tc>
        <w:tc>
          <w:tcPr>
            <w:tcW w:w="593" w:type="dxa"/>
            <w:noWrap/>
          </w:tcPr>
          <w:p w14:paraId="71A36968" w14:textId="77777777" w:rsidR="009638C5" w:rsidRPr="00ED68E6" w:rsidRDefault="009638C5" w:rsidP="00833AD6">
            <w:pPr>
              <w:pStyle w:val="No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b/>
                <w:color w:val="1F4E78"/>
                <w:sz w:val="16"/>
                <w:szCs w:val="16"/>
              </w:rPr>
            </w:pPr>
            <w:r w:rsidRPr="00ED68E6">
              <w:rPr>
                <w:rFonts w:ascii="Century Gothic" w:hAnsi="Century Gothic"/>
                <w:b/>
                <w:color w:val="548235"/>
                <w:sz w:val="16"/>
                <w:szCs w:val="16"/>
              </w:rPr>
              <w:t>4.39</w:t>
            </w:r>
          </w:p>
        </w:tc>
        <w:tc>
          <w:tcPr>
            <w:tcW w:w="593" w:type="dxa"/>
            <w:noWrap/>
            <w:vAlign w:val="center"/>
          </w:tcPr>
          <w:p w14:paraId="250FABED" w14:textId="77777777" w:rsidR="009638C5" w:rsidRPr="00ED68E6" w:rsidRDefault="009638C5" w:rsidP="00833AD6">
            <w:pPr>
              <w:pStyle w:val="NoSpacing"/>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c>
          <w:tcPr>
            <w:tcW w:w="593" w:type="dxa"/>
            <w:vAlign w:val="center"/>
          </w:tcPr>
          <w:p w14:paraId="6543615C" w14:textId="77777777" w:rsidR="009638C5" w:rsidRPr="00ED68E6" w:rsidRDefault="009638C5" w:rsidP="00833AD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olor w:val="000000"/>
                <w:sz w:val="16"/>
                <w:szCs w:val="16"/>
              </w:rPr>
            </w:pPr>
          </w:p>
        </w:tc>
      </w:tr>
      <w:tr w:rsidR="009638C5" w:rsidRPr="00ED68E6" w14:paraId="1FC902D9" w14:textId="77777777" w:rsidTr="007579C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2694" w:type="dxa"/>
            <w:gridSpan w:val="2"/>
            <w:noWrap/>
            <w:hideMark/>
          </w:tcPr>
          <w:p w14:paraId="0CE69D8D" w14:textId="77777777" w:rsidR="009638C5" w:rsidRPr="00ED68E6" w:rsidRDefault="009638C5" w:rsidP="00833AD6">
            <w:pPr>
              <w:pStyle w:val="NoSpacing"/>
              <w:rPr>
                <w:rFonts w:ascii="Century Gothic" w:hAnsi="Century Gothic"/>
                <w:sz w:val="16"/>
                <w:szCs w:val="16"/>
              </w:rPr>
            </w:pPr>
            <w:r w:rsidRPr="00ED68E6">
              <w:rPr>
                <w:rFonts w:ascii="Century Gothic" w:hAnsi="Century Gothic"/>
                <w:sz w:val="16"/>
                <w:szCs w:val="16"/>
              </w:rPr>
              <w:t>Rata-rata indeks</w:t>
            </w:r>
          </w:p>
        </w:tc>
        <w:tc>
          <w:tcPr>
            <w:tcW w:w="593" w:type="dxa"/>
            <w:noWrap/>
            <w:hideMark/>
          </w:tcPr>
          <w:p w14:paraId="0636E1AC"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b/>
                <w:color w:val="2F75B5"/>
                <w:sz w:val="16"/>
                <w:szCs w:val="16"/>
              </w:rPr>
            </w:pPr>
            <w:r w:rsidRPr="00ED68E6">
              <w:rPr>
                <w:rFonts w:ascii="Century Gothic" w:eastAsia="Times New Roman" w:hAnsi="Century Gothic"/>
                <w:b/>
                <w:color w:val="548235"/>
                <w:sz w:val="16"/>
                <w:szCs w:val="16"/>
              </w:rPr>
              <w:t>4,38</w:t>
            </w:r>
          </w:p>
        </w:tc>
        <w:tc>
          <w:tcPr>
            <w:tcW w:w="593" w:type="dxa"/>
            <w:noWrap/>
            <w:hideMark/>
          </w:tcPr>
          <w:p w14:paraId="027C46D9" w14:textId="77777777" w:rsidR="009638C5" w:rsidRPr="00ED68E6" w:rsidRDefault="009638C5" w:rsidP="00833AD6">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olor w:val="2F75B5"/>
                <w:sz w:val="16"/>
                <w:szCs w:val="16"/>
              </w:rPr>
            </w:pPr>
            <w:r w:rsidRPr="00ED68E6">
              <w:rPr>
                <w:rFonts w:ascii="Century Gothic" w:hAnsi="Century Gothic"/>
                <w:sz w:val="16"/>
                <w:szCs w:val="16"/>
              </w:rPr>
              <w:t>4,55</w:t>
            </w:r>
          </w:p>
        </w:tc>
        <w:tc>
          <w:tcPr>
            <w:tcW w:w="593" w:type="dxa"/>
            <w:vAlign w:val="center"/>
          </w:tcPr>
          <w:p w14:paraId="74B6B19E" w14:textId="77777777" w:rsidR="009638C5" w:rsidRPr="00ED68E6" w:rsidRDefault="009638C5" w:rsidP="00833AD6">
            <w:pPr>
              <w:ind w:left="-85"/>
              <w:jc w:val="center"/>
              <w:cnfStyle w:val="000000100000" w:firstRow="0" w:lastRow="0" w:firstColumn="0" w:lastColumn="0" w:oddVBand="0" w:evenVBand="0" w:oddHBand="1"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-0,18</w:t>
            </w:r>
          </w:p>
        </w:tc>
      </w:tr>
      <w:tr w:rsidR="009638C5" w:rsidRPr="00ED68E6" w14:paraId="3C80E759" w14:textId="77777777" w:rsidTr="007579C1">
        <w:trPr>
          <w:trHeight w:val="315"/>
        </w:trPr>
        <w:tc>
          <w:tcPr>
            <w:cnfStyle w:val="001000000000" w:firstRow="0" w:lastRow="0" w:firstColumn="1" w:lastColumn="0" w:oddVBand="0" w:evenVBand="0" w:oddHBand="0" w:evenHBand="0" w:firstRowFirstColumn="0" w:firstRowLastColumn="0" w:lastRowFirstColumn="0" w:lastRowLastColumn="0"/>
            <w:tcW w:w="2694" w:type="dxa"/>
            <w:gridSpan w:val="2"/>
            <w:noWrap/>
          </w:tcPr>
          <w:p w14:paraId="7D7F0064" w14:textId="77777777" w:rsidR="009638C5" w:rsidRPr="00ED68E6" w:rsidRDefault="009638C5" w:rsidP="00833AD6">
            <w:pPr>
              <w:pStyle w:val="NoSpacing"/>
              <w:rPr>
                <w:rFonts w:ascii="Century Gothic" w:hAnsi="Century Gothic"/>
                <w:sz w:val="16"/>
                <w:szCs w:val="16"/>
              </w:rPr>
            </w:pPr>
            <w:r w:rsidRPr="00ED68E6">
              <w:rPr>
                <w:rFonts w:ascii="Century Gothic" w:hAnsi="Century Gothic"/>
                <w:sz w:val="16"/>
                <w:szCs w:val="16"/>
              </w:rPr>
              <w:t>Jumlah Responden</w:t>
            </w:r>
          </w:p>
        </w:tc>
        <w:tc>
          <w:tcPr>
            <w:tcW w:w="593" w:type="dxa"/>
            <w:noWrap/>
          </w:tcPr>
          <w:p w14:paraId="0C3EFA10" w14:textId="77777777" w:rsidR="009638C5" w:rsidRPr="00ED68E6" w:rsidRDefault="009638C5" w:rsidP="00833AD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46</w:t>
            </w:r>
          </w:p>
        </w:tc>
        <w:tc>
          <w:tcPr>
            <w:tcW w:w="593" w:type="dxa"/>
            <w:noWrap/>
          </w:tcPr>
          <w:p w14:paraId="670BE37E" w14:textId="77777777" w:rsidR="009638C5" w:rsidRPr="00ED68E6" w:rsidRDefault="009638C5" w:rsidP="00833AD6">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r w:rsidRPr="00ED68E6">
              <w:rPr>
                <w:rFonts w:ascii="Century Gothic" w:hAnsi="Century Gothic"/>
                <w:sz w:val="16"/>
                <w:szCs w:val="16"/>
              </w:rPr>
              <w:t>46</w:t>
            </w:r>
          </w:p>
        </w:tc>
        <w:tc>
          <w:tcPr>
            <w:tcW w:w="593" w:type="dxa"/>
          </w:tcPr>
          <w:p w14:paraId="4E235501" w14:textId="77777777" w:rsidR="009638C5" w:rsidRPr="00ED68E6" w:rsidRDefault="009638C5" w:rsidP="00833AD6">
            <w:pPr>
              <w:ind w:left="-85"/>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16"/>
                <w:szCs w:val="16"/>
              </w:rPr>
            </w:pPr>
          </w:p>
        </w:tc>
      </w:tr>
    </w:tbl>
    <w:p w14:paraId="04A9FD05" w14:textId="77777777" w:rsidR="00ED5490" w:rsidRPr="00ED68E6" w:rsidRDefault="00ED5490" w:rsidP="00ED5490">
      <w:pPr>
        <w:spacing w:after="120"/>
        <w:jc w:val="both"/>
        <w:rPr>
          <w:i/>
          <w:sz w:val="16"/>
          <w:szCs w:val="16"/>
          <w:lang w:val="id-ID"/>
        </w:rPr>
      </w:pPr>
      <w:r w:rsidRPr="00ED68E6">
        <w:rPr>
          <w:i/>
          <w:sz w:val="16"/>
          <w:szCs w:val="16"/>
          <w:lang w:val="id-ID"/>
        </w:rPr>
        <w:t xml:space="preserve">Catatan: Kolom (1) dan (2) menunjukkan tingkat kepuasan dan tingkat kepentingan, secara berurutan. Kolom </w:t>
      </w:r>
      <w:r w:rsidRPr="00ED68E6">
        <w:rPr>
          <w:i/>
          <w:sz w:val="16"/>
          <w:szCs w:val="16"/>
          <w:lang w:val="id-ID"/>
        </w:rPr>
        <w:sym w:font="Symbol" w:char="F044"/>
      </w:r>
      <w:r w:rsidRPr="00ED68E6">
        <w:rPr>
          <w:i/>
          <w:sz w:val="16"/>
          <w:szCs w:val="16"/>
          <w:lang w:val="id-ID"/>
        </w:rPr>
        <w:t xml:space="preserve"> menunjukkan selisih antara tingkat kepuasan dan tingkat kepentingan, nilai negatif menandakan perlunya peningkatan kualitas layanan. Warna merah menandakan rata-rata nilai aspek di bawah nilai kritis (4.00). Warna biru menandakan rata-rata nilai aspek berada di antara nilai kritis (4.00) dan nilai rata-rata agregat (4.38). Warna hijau menandakan rata-rata nilai aspek di atas nilai rata-rata agregat (4.38).</w:t>
      </w:r>
    </w:p>
    <w:p w14:paraId="6151BDB1" w14:textId="5EE1BA9F" w:rsidR="009638C5" w:rsidRPr="00ED68E6" w:rsidRDefault="009638C5" w:rsidP="00695840">
      <w:pPr>
        <w:rPr>
          <w:rFonts w:ascii="Century Gothic" w:hAnsi="Century Gothic"/>
          <w:i/>
          <w:sz w:val="16"/>
          <w:szCs w:val="16"/>
          <w:lang w:val="id-ID"/>
        </w:rPr>
      </w:pPr>
    </w:p>
    <w:p w14:paraId="294E6714" w14:textId="23FAD17E" w:rsidR="0005122A" w:rsidRPr="00ED68E6" w:rsidRDefault="009638C5" w:rsidP="009638C5">
      <w:pPr>
        <w:jc w:val="both"/>
        <w:rPr>
          <w:rFonts w:ascii="Century Gothic" w:hAnsi="Century Gothic"/>
          <w:sz w:val="20"/>
          <w:szCs w:val="20"/>
          <w:lang w:val="id-ID"/>
        </w:rPr>
      </w:pPr>
      <w:r w:rsidRPr="00ED68E6">
        <w:rPr>
          <w:rFonts w:ascii="Century Gothic" w:hAnsi="Century Gothic"/>
          <w:sz w:val="20"/>
          <w:szCs w:val="20"/>
          <w:lang w:val="id-ID"/>
        </w:rPr>
        <w:t>T</w:t>
      </w:r>
      <w:r w:rsidR="00ED5490" w:rsidRPr="00ED68E6">
        <w:rPr>
          <w:rFonts w:ascii="Century Gothic" w:hAnsi="Century Gothic"/>
          <w:sz w:val="20"/>
          <w:szCs w:val="20"/>
          <w:lang w:val="id-ID"/>
        </w:rPr>
        <w:t>abel 2</w:t>
      </w:r>
      <w:r w:rsidR="00695840" w:rsidRPr="00ED68E6">
        <w:rPr>
          <w:rFonts w:ascii="Century Gothic" w:hAnsi="Century Gothic"/>
          <w:sz w:val="20"/>
          <w:szCs w:val="20"/>
          <w:lang w:val="id-ID"/>
        </w:rPr>
        <w:t xml:space="preserve"> menunjukkan bahwa indeks kepentingan untuk 9 aspek layanan FTA</w:t>
      </w:r>
      <w:r w:rsidRPr="00ED68E6">
        <w:rPr>
          <w:rFonts w:ascii="Century Gothic" w:hAnsi="Century Gothic"/>
          <w:sz w:val="20"/>
          <w:szCs w:val="20"/>
          <w:lang w:val="id-ID"/>
        </w:rPr>
        <w:t xml:space="preserve"> </w:t>
      </w:r>
      <w:r w:rsidR="00695840" w:rsidRPr="00ED68E6">
        <w:rPr>
          <w:rFonts w:ascii="Century Gothic" w:hAnsi="Century Gothic"/>
          <w:sz w:val="20"/>
          <w:szCs w:val="20"/>
          <w:lang w:val="id-ID"/>
        </w:rPr>
        <w:t>C</w:t>
      </w:r>
      <w:r w:rsidRPr="00ED68E6">
        <w:rPr>
          <w:rFonts w:ascii="Century Gothic" w:hAnsi="Century Gothic"/>
          <w:sz w:val="20"/>
          <w:szCs w:val="20"/>
          <w:lang w:val="id-ID"/>
        </w:rPr>
        <w:t>enter</w:t>
      </w:r>
      <w:r w:rsidR="00695840" w:rsidRPr="00ED68E6">
        <w:rPr>
          <w:rFonts w:ascii="Century Gothic" w:hAnsi="Century Gothic"/>
          <w:sz w:val="20"/>
          <w:szCs w:val="20"/>
          <w:lang w:val="id-ID"/>
        </w:rPr>
        <w:t xml:space="preserve"> memiliki selisih dengan indeks kepuasan FTA</w:t>
      </w:r>
      <w:r w:rsidRPr="00ED68E6">
        <w:rPr>
          <w:rFonts w:ascii="Century Gothic" w:hAnsi="Century Gothic"/>
          <w:sz w:val="20"/>
          <w:szCs w:val="20"/>
          <w:lang w:val="id-ID"/>
        </w:rPr>
        <w:t xml:space="preserve"> </w:t>
      </w:r>
      <w:r w:rsidR="00695840" w:rsidRPr="00ED68E6">
        <w:rPr>
          <w:rFonts w:ascii="Century Gothic" w:hAnsi="Century Gothic"/>
          <w:sz w:val="20"/>
          <w:szCs w:val="20"/>
          <w:lang w:val="id-ID"/>
        </w:rPr>
        <w:t>C</w:t>
      </w:r>
      <w:r w:rsidRPr="00ED68E6">
        <w:rPr>
          <w:rFonts w:ascii="Century Gothic" w:hAnsi="Century Gothic"/>
          <w:sz w:val="20"/>
          <w:szCs w:val="20"/>
          <w:lang w:val="id-ID"/>
        </w:rPr>
        <w:t>enter</w:t>
      </w:r>
      <w:r w:rsidR="00695840" w:rsidRPr="00ED68E6">
        <w:rPr>
          <w:rFonts w:ascii="Century Gothic" w:hAnsi="Century Gothic"/>
          <w:sz w:val="20"/>
          <w:szCs w:val="20"/>
          <w:lang w:val="id-ID"/>
        </w:rPr>
        <w:t>. Selisih rata-rata indeks kepentingan dan indeks kepuasan rata-rata di FTA</w:t>
      </w:r>
      <w:r w:rsidRPr="00ED68E6">
        <w:rPr>
          <w:rFonts w:ascii="Century Gothic" w:hAnsi="Century Gothic"/>
          <w:sz w:val="20"/>
          <w:szCs w:val="20"/>
          <w:lang w:val="id-ID"/>
        </w:rPr>
        <w:t xml:space="preserve"> </w:t>
      </w:r>
      <w:r w:rsidR="00695840" w:rsidRPr="00ED68E6">
        <w:rPr>
          <w:rFonts w:ascii="Century Gothic" w:hAnsi="Century Gothic"/>
          <w:sz w:val="20"/>
          <w:szCs w:val="20"/>
          <w:lang w:val="id-ID"/>
        </w:rPr>
        <w:t>C</w:t>
      </w:r>
      <w:r w:rsidRPr="00ED68E6">
        <w:rPr>
          <w:rFonts w:ascii="Century Gothic" w:hAnsi="Century Gothic"/>
          <w:sz w:val="20"/>
          <w:szCs w:val="20"/>
          <w:lang w:val="id-ID"/>
        </w:rPr>
        <w:t>enter</w:t>
      </w:r>
      <w:r w:rsidR="00695840" w:rsidRPr="00ED68E6">
        <w:rPr>
          <w:rFonts w:ascii="Century Gothic" w:hAnsi="Century Gothic"/>
          <w:sz w:val="20"/>
          <w:szCs w:val="20"/>
          <w:lang w:val="id-ID"/>
        </w:rPr>
        <w:t xml:space="preserve"> adalah 18 poin. Hal tersebut menunjukkan hal yang wajar dan positif karena pengguna layanan FTA</w:t>
      </w:r>
      <w:r w:rsidR="006A18DF" w:rsidRPr="00ED68E6">
        <w:rPr>
          <w:rFonts w:ascii="Century Gothic" w:hAnsi="Century Gothic"/>
          <w:sz w:val="20"/>
          <w:szCs w:val="20"/>
          <w:lang w:val="id-ID"/>
        </w:rPr>
        <w:t xml:space="preserve"> </w:t>
      </w:r>
      <w:r w:rsidR="00695840" w:rsidRPr="00ED68E6">
        <w:rPr>
          <w:rFonts w:ascii="Century Gothic" w:hAnsi="Century Gothic"/>
          <w:sz w:val="20"/>
          <w:szCs w:val="20"/>
          <w:lang w:val="id-ID"/>
        </w:rPr>
        <w:t>C</w:t>
      </w:r>
      <w:r w:rsidR="006A18DF" w:rsidRPr="00ED68E6">
        <w:rPr>
          <w:rFonts w:ascii="Century Gothic" w:hAnsi="Century Gothic"/>
          <w:sz w:val="20"/>
          <w:szCs w:val="20"/>
          <w:lang w:val="id-ID"/>
        </w:rPr>
        <w:t>enter</w:t>
      </w:r>
      <w:r w:rsidR="00695840" w:rsidRPr="00ED68E6">
        <w:rPr>
          <w:rFonts w:ascii="Century Gothic" w:hAnsi="Century Gothic"/>
          <w:sz w:val="20"/>
          <w:szCs w:val="20"/>
          <w:lang w:val="id-ID"/>
        </w:rPr>
        <w:t xml:space="preserve"> </w:t>
      </w:r>
      <w:r w:rsidR="006A18DF" w:rsidRPr="00ED68E6">
        <w:rPr>
          <w:rFonts w:ascii="Century Gothic" w:hAnsi="Century Gothic"/>
          <w:sz w:val="20"/>
          <w:szCs w:val="20"/>
          <w:lang w:val="id-ID"/>
        </w:rPr>
        <w:t>masih memiliki harapan akan ada</w:t>
      </w:r>
      <w:r w:rsidR="00695840" w:rsidRPr="00ED68E6">
        <w:rPr>
          <w:rFonts w:ascii="Century Gothic" w:hAnsi="Century Gothic"/>
          <w:sz w:val="20"/>
          <w:szCs w:val="20"/>
          <w:lang w:val="id-ID"/>
        </w:rPr>
        <w:t>nya perbaikan berkelanjutan terhadap kualitas layanan yang diberikan.</w:t>
      </w:r>
    </w:p>
    <w:p w14:paraId="2EE9924B" w14:textId="16E457A6" w:rsidR="008971AE" w:rsidRPr="00ED68E6" w:rsidRDefault="008971AE" w:rsidP="00CE75E4">
      <w:pPr>
        <w:pStyle w:val="Heading1"/>
        <w:jc w:val="both"/>
        <w:rPr>
          <w:rFonts w:ascii="Century Gothic" w:hAnsi="Century Gothic"/>
          <w:sz w:val="20"/>
          <w:szCs w:val="20"/>
          <w:lang w:val="id-ID"/>
        </w:rPr>
      </w:pPr>
      <w:r w:rsidRPr="00ED68E6">
        <w:rPr>
          <w:rFonts w:ascii="Century Gothic" w:hAnsi="Century Gothic"/>
          <w:sz w:val="20"/>
          <w:szCs w:val="20"/>
          <w:lang w:val="id-ID"/>
        </w:rPr>
        <w:t>KESIMPULAN</w:t>
      </w:r>
    </w:p>
    <w:p w14:paraId="500DC9EA" w14:textId="36EA0DCA" w:rsidR="009638C5" w:rsidRPr="00ED68E6" w:rsidRDefault="009638C5" w:rsidP="009638C5">
      <w:pPr>
        <w:jc w:val="both"/>
        <w:rPr>
          <w:rFonts w:ascii="Century Gothic" w:hAnsi="Century Gothic"/>
          <w:sz w:val="20"/>
          <w:szCs w:val="20"/>
          <w:lang w:val="id-ID"/>
        </w:rPr>
      </w:pPr>
      <w:r w:rsidRPr="00ED68E6">
        <w:rPr>
          <w:rFonts w:ascii="Century Gothic" w:hAnsi="Century Gothic"/>
          <w:sz w:val="20"/>
          <w:szCs w:val="20"/>
          <w:lang w:val="id-ID"/>
        </w:rPr>
        <w:t>Free Trade Agreement Center di lima kota yakni Medan, Bandung, Surabaya, Makassar, dan Jakarta memiliki tiga fungsi layanan utama. Ketiga fungsi layanan tersebut adalah: 1) layanan edukasi, (2) layanan konsultasi, dan (3) layanan advokasi. Dengan menjalankan ketiga fungsi layanan tersebut, FTA</w:t>
      </w:r>
      <w:r w:rsidR="00ED5490" w:rsidRPr="00ED68E6">
        <w:rPr>
          <w:rFonts w:ascii="Century Gothic" w:hAnsi="Century Gothic"/>
          <w:sz w:val="20"/>
          <w:szCs w:val="20"/>
          <w:lang w:val="id-ID"/>
        </w:rPr>
        <w:t xml:space="preserve"> </w:t>
      </w:r>
      <w:r w:rsidRPr="00ED68E6">
        <w:rPr>
          <w:rFonts w:ascii="Century Gothic" w:hAnsi="Century Gothic"/>
          <w:sz w:val="20"/>
          <w:szCs w:val="20"/>
          <w:lang w:val="id-ID"/>
        </w:rPr>
        <w:t>C</w:t>
      </w:r>
      <w:r w:rsidR="00ED5490" w:rsidRPr="00ED68E6">
        <w:rPr>
          <w:rFonts w:ascii="Century Gothic" w:hAnsi="Century Gothic"/>
          <w:sz w:val="20"/>
          <w:szCs w:val="20"/>
          <w:lang w:val="id-ID"/>
        </w:rPr>
        <w:t>enter</w:t>
      </w:r>
      <w:r w:rsidRPr="00ED68E6">
        <w:rPr>
          <w:rFonts w:ascii="Century Gothic" w:hAnsi="Century Gothic"/>
          <w:sz w:val="20"/>
          <w:szCs w:val="20"/>
          <w:lang w:val="id-ID"/>
        </w:rPr>
        <w:t xml:space="preserve"> diharapkan dapat menjadi perpanjangan tangan antara Kemendag dengan para pelaku usaha di </w:t>
      </w:r>
      <w:r w:rsidRPr="00ED68E6">
        <w:rPr>
          <w:rFonts w:ascii="Century Gothic" w:hAnsi="Century Gothic"/>
          <w:sz w:val="20"/>
          <w:szCs w:val="20"/>
          <w:lang w:val="id-ID"/>
        </w:rPr>
        <w:t xml:space="preserve">daerah. Sebelum mengenal FTA mereka kebingungan untuk mengakses informasi mengenai ekspor serta </w:t>
      </w:r>
      <w:r w:rsidRPr="008C2743">
        <w:rPr>
          <w:rFonts w:ascii="Century Gothic" w:hAnsi="Century Gothic"/>
          <w:i/>
          <w:sz w:val="20"/>
          <w:szCs w:val="20"/>
          <w:lang w:val="id-ID"/>
        </w:rPr>
        <w:t>update</w:t>
      </w:r>
      <w:r w:rsidRPr="00ED68E6">
        <w:rPr>
          <w:rFonts w:ascii="Century Gothic" w:hAnsi="Century Gothic"/>
          <w:sz w:val="20"/>
          <w:szCs w:val="20"/>
          <w:lang w:val="id-ID"/>
        </w:rPr>
        <w:t xml:space="preserve"> informasi </w:t>
      </w:r>
      <w:r w:rsidRPr="008C2743">
        <w:rPr>
          <w:rFonts w:ascii="Century Gothic" w:hAnsi="Century Gothic"/>
          <w:i/>
          <w:sz w:val="20"/>
          <w:szCs w:val="20"/>
          <w:lang w:val="id-ID"/>
        </w:rPr>
        <w:t>buyer</w:t>
      </w:r>
      <w:r w:rsidRPr="00ED68E6">
        <w:rPr>
          <w:rFonts w:ascii="Century Gothic" w:hAnsi="Century Gothic"/>
          <w:sz w:val="20"/>
          <w:szCs w:val="20"/>
          <w:lang w:val="id-ID"/>
        </w:rPr>
        <w:t xml:space="preserve"> dan regulasi di negara lain. Adanya FTA</w:t>
      </w:r>
      <w:r w:rsidR="00ED5490" w:rsidRPr="00ED68E6">
        <w:rPr>
          <w:rFonts w:ascii="Century Gothic" w:hAnsi="Century Gothic"/>
          <w:sz w:val="20"/>
          <w:szCs w:val="20"/>
          <w:lang w:val="id-ID"/>
        </w:rPr>
        <w:t xml:space="preserve"> </w:t>
      </w:r>
      <w:r w:rsidRPr="00ED68E6">
        <w:rPr>
          <w:rFonts w:ascii="Century Gothic" w:hAnsi="Century Gothic"/>
          <w:sz w:val="20"/>
          <w:szCs w:val="20"/>
          <w:lang w:val="id-ID"/>
        </w:rPr>
        <w:t>C</w:t>
      </w:r>
      <w:r w:rsidR="00ED5490" w:rsidRPr="00ED68E6">
        <w:rPr>
          <w:rFonts w:ascii="Century Gothic" w:hAnsi="Century Gothic"/>
          <w:sz w:val="20"/>
          <w:szCs w:val="20"/>
          <w:lang w:val="id-ID"/>
        </w:rPr>
        <w:t>enter</w:t>
      </w:r>
      <w:r w:rsidRPr="00ED68E6">
        <w:rPr>
          <w:rFonts w:ascii="Century Gothic" w:hAnsi="Century Gothic"/>
          <w:sz w:val="20"/>
          <w:szCs w:val="20"/>
          <w:lang w:val="id-ID"/>
        </w:rPr>
        <w:t xml:space="preserve"> mempermudah mereka dalam mengakses segala macam informasi.</w:t>
      </w:r>
    </w:p>
    <w:p w14:paraId="3C07FFE2" w14:textId="769CB81B" w:rsidR="009638C5" w:rsidRPr="00ED68E6" w:rsidRDefault="009638C5" w:rsidP="00CB358E">
      <w:pPr>
        <w:spacing w:before="120"/>
        <w:jc w:val="both"/>
        <w:rPr>
          <w:rFonts w:ascii="Century Gothic" w:hAnsi="Century Gothic"/>
          <w:sz w:val="20"/>
          <w:szCs w:val="20"/>
          <w:lang w:val="id-ID"/>
        </w:rPr>
      </w:pPr>
      <w:r w:rsidRPr="00ED68E6">
        <w:rPr>
          <w:rFonts w:ascii="Century Gothic" w:hAnsi="Century Gothic"/>
          <w:sz w:val="20"/>
          <w:szCs w:val="20"/>
          <w:lang w:val="id-ID"/>
        </w:rPr>
        <w:t>Secara agregat, indeks kepuasan pengguna FTA</w:t>
      </w:r>
      <w:r w:rsidR="00660497" w:rsidRPr="00ED68E6">
        <w:rPr>
          <w:rFonts w:ascii="Century Gothic" w:hAnsi="Century Gothic"/>
          <w:sz w:val="20"/>
          <w:szCs w:val="20"/>
          <w:lang w:val="id-ID"/>
        </w:rPr>
        <w:t xml:space="preserve"> Center</w:t>
      </w:r>
      <w:r w:rsidRPr="00ED68E6">
        <w:rPr>
          <w:rFonts w:ascii="Century Gothic" w:hAnsi="Century Gothic"/>
          <w:sz w:val="20"/>
          <w:szCs w:val="20"/>
          <w:lang w:val="id-ID"/>
        </w:rPr>
        <w:t xml:space="preserve"> di lima kota adalah 4,38, dan ini merupakan indeks yang cukup baik. Indeks kepuasan pengguna tersebut telah berada di atas batas “puas,” yaitu 4,00. Hasil ini juga menjadi hasil yang cukup baik mengingat keberadaan FTA</w:t>
      </w:r>
      <w:r w:rsidR="00646DB8" w:rsidRPr="00ED68E6">
        <w:rPr>
          <w:rFonts w:ascii="Century Gothic" w:hAnsi="Century Gothic"/>
          <w:sz w:val="20"/>
          <w:szCs w:val="20"/>
          <w:lang w:val="id-ID"/>
        </w:rPr>
        <w:t xml:space="preserve"> </w:t>
      </w:r>
      <w:r w:rsidRPr="00ED68E6">
        <w:rPr>
          <w:rFonts w:ascii="Century Gothic" w:hAnsi="Century Gothic"/>
          <w:sz w:val="20"/>
          <w:szCs w:val="20"/>
          <w:lang w:val="id-ID"/>
        </w:rPr>
        <w:t>C</w:t>
      </w:r>
      <w:r w:rsidR="00646DB8" w:rsidRPr="00ED68E6">
        <w:rPr>
          <w:rFonts w:ascii="Century Gothic" w:hAnsi="Century Gothic"/>
          <w:sz w:val="20"/>
          <w:szCs w:val="20"/>
          <w:lang w:val="id-ID"/>
        </w:rPr>
        <w:t>enter</w:t>
      </w:r>
      <w:r w:rsidRPr="00ED68E6">
        <w:rPr>
          <w:rFonts w:ascii="Century Gothic" w:hAnsi="Century Gothic"/>
          <w:sz w:val="20"/>
          <w:szCs w:val="20"/>
          <w:lang w:val="id-ID"/>
        </w:rPr>
        <w:t xml:space="preserve"> belum lama dan bahwa berawal dari </w:t>
      </w:r>
      <w:r w:rsidRPr="00ED68E6">
        <w:rPr>
          <w:rFonts w:ascii="Century Gothic" w:hAnsi="Century Gothic"/>
          <w:i/>
          <w:sz w:val="20"/>
          <w:szCs w:val="20"/>
          <w:lang w:val="id-ID"/>
        </w:rPr>
        <w:t>pilot project</w:t>
      </w:r>
      <w:r w:rsidRPr="00ED68E6">
        <w:rPr>
          <w:rFonts w:ascii="Century Gothic" w:hAnsi="Century Gothic"/>
          <w:sz w:val="20"/>
          <w:szCs w:val="20"/>
          <w:lang w:val="id-ID"/>
        </w:rPr>
        <w:t xml:space="preserve"> Kementerian Perdagangan. FTA</w:t>
      </w:r>
      <w:r w:rsidR="00646DB8" w:rsidRPr="00ED68E6">
        <w:rPr>
          <w:rFonts w:ascii="Century Gothic" w:hAnsi="Century Gothic"/>
          <w:sz w:val="20"/>
          <w:szCs w:val="20"/>
          <w:lang w:val="id-ID"/>
        </w:rPr>
        <w:t xml:space="preserve"> </w:t>
      </w:r>
      <w:r w:rsidRPr="00ED68E6">
        <w:rPr>
          <w:rFonts w:ascii="Century Gothic" w:hAnsi="Century Gothic"/>
          <w:sz w:val="20"/>
          <w:szCs w:val="20"/>
          <w:lang w:val="id-ID"/>
        </w:rPr>
        <w:t>C</w:t>
      </w:r>
      <w:r w:rsidR="00646DB8" w:rsidRPr="00ED68E6">
        <w:rPr>
          <w:rFonts w:ascii="Century Gothic" w:hAnsi="Century Gothic"/>
          <w:sz w:val="20"/>
          <w:szCs w:val="20"/>
          <w:lang w:val="id-ID"/>
        </w:rPr>
        <w:t>enter</w:t>
      </w:r>
      <w:r w:rsidRPr="00ED68E6">
        <w:rPr>
          <w:rFonts w:ascii="Century Gothic" w:hAnsi="Century Gothic"/>
          <w:sz w:val="20"/>
          <w:szCs w:val="20"/>
          <w:lang w:val="id-ID"/>
        </w:rPr>
        <w:t xml:space="preserve"> didirikan dengan bentuk organisasi yang belum disertai dengan SOTK serta SOP. Namun</w:t>
      </w:r>
      <w:r w:rsidR="00CB358E" w:rsidRPr="00ED68E6">
        <w:rPr>
          <w:rFonts w:ascii="Century Gothic" w:hAnsi="Century Gothic"/>
          <w:sz w:val="20"/>
          <w:szCs w:val="20"/>
          <w:lang w:val="id-ID"/>
        </w:rPr>
        <w:t>,</w:t>
      </w:r>
      <w:r w:rsidRPr="00ED68E6">
        <w:rPr>
          <w:rFonts w:ascii="Century Gothic" w:hAnsi="Century Gothic"/>
          <w:sz w:val="20"/>
          <w:szCs w:val="20"/>
          <w:lang w:val="id-ID"/>
        </w:rPr>
        <w:t xml:space="preserve"> seiring berjalannya waktu, output dan antusiasme masyarakat terhadap kehadiran FTA</w:t>
      </w:r>
      <w:r w:rsidR="00646DB8" w:rsidRPr="00ED68E6">
        <w:rPr>
          <w:rFonts w:ascii="Century Gothic" w:hAnsi="Century Gothic"/>
          <w:sz w:val="20"/>
          <w:szCs w:val="20"/>
          <w:lang w:val="id-ID"/>
        </w:rPr>
        <w:t xml:space="preserve"> </w:t>
      </w:r>
      <w:r w:rsidRPr="00ED68E6">
        <w:rPr>
          <w:rFonts w:ascii="Century Gothic" w:hAnsi="Century Gothic"/>
          <w:sz w:val="20"/>
          <w:szCs w:val="20"/>
          <w:lang w:val="id-ID"/>
        </w:rPr>
        <w:t>C</w:t>
      </w:r>
      <w:r w:rsidR="00646DB8" w:rsidRPr="00ED68E6">
        <w:rPr>
          <w:rFonts w:ascii="Century Gothic" w:hAnsi="Century Gothic"/>
          <w:sz w:val="20"/>
          <w:szCs w:val="20"/>
          <w:lang w:val="id-ID"/>
        </w:rPr>
        <w:t>enter</w:t>
      </w:r>
      <w:r w:rsidRPr="00ED68E6">
        <w:rPr>
          <w:rFonts w:ascii="Century Gothic" w:hAnsi="Century Gothic"/>
          <w:sz w:val="20"/>
          <w:szCs w:val="20"/>
          <w:lang w:val="id-ID"/>
        </w:rPr>
        <w:t xml:space="preserve"> dapat dilihat hingga saat ini. Matriks hubungan antara indeks kepuasan dan indeks kepentingan secara agregat menunjukkan berbagai aspek yang sudah berada pada kuadran I dengan indeks kepuasan dan kepentingan yang tinggi. Sementara itu, masih terdapat 18 poin sebagai delta atau selisih antara indeks kepuasan dan indeks kepentingan. Delta tersebut adalah jumlah poin yang wajar, sebagai penanda bahwa masih terdapat beberapa aspek yang harus ditingkatkan. </w:t>
      </w:r>
    </w:p>
    <w:p w14:paraId="1AA571F3" w14:textId="77777777" w:rsidR="009638C5" w:rsidRPr="00ED68E6" w:rsidRDefault="009638C5" w:rsidP="00CE75E4">
      <w:pPr>
        <w:pStyle w:val="Pustakajudul"/>
        <w:rPr>
          <w:rFonts w:ascii="Century Gothic" w:hAnsi="Century Gothic"/>
          <w:lang w:val="id-ID"/>
        </w:rPr>
      </w:pPr>
    </w:p>
    <w:sdt>
      <w:sdtPr>
        <w:rPr>
          <w:rFonts w:ascii="Century Gothic" w:eastAsia="MS Mincho" w:hAnsi="Century Gothic" w:cs="Times New Roman"/>
          <w:b w:val="0"/>
          <w:bCs w:val="0"/>
          <w:kern w:val="0"/>
          <w:sz w:val="20"/>
          <w:szCs w:val="20"/>
          <w:lang w:val="id-ID"/>
        </w:rPr>
        <w:id w:val="159890819"/>
        <w:docPartObj>
          <w:docPartGallery w:val="Bibliographies"/>
          <w:docPartUnique/>
        </w:docPartObj>
      </w:sdtPr>
      <w:sdtEndPr>
        <w:rPr>
          <w:rFonts w:cs="Arial"/>
        </w:rPr>
      </w:sdtEndPr>
      <w:sdtContent>
        <w:p w14:paraId="3AE65A25" w14:textId="36FA1025" w:rsidR="00AE0872" w:rsidRPr="00ED68E6" w:rsidRDefault="007F2956">
          <w:pPr>
            <w:pStyle w:val="Heading1"/>
            <w:rPr>
              <w:rFonts w:ascii="Century Gothic" w:hAnsi="Century Gothic"/>
              <w:sz w:val="20"/>
              <w:szCs w:val="20"/>
              <w:lang w:val="id-ID"/>
            </w:rPr>
          </w:pPr>
          <w:r w:rsidRPr="00ED68E6">
            <w:rPr>
              <w:rFonts w:ascii="Century Gothic" w:hAnsi="Century Gothic"/>
              <w:sz w:val="20"/>
              <w:szCs w:val="20"/>
              <w:lang w:val="id-ID"/>
            </w:rPr>
            <w:t>REFERENSI</w:t>
          </w:r>
        </w:p>
        <w:sdt>
          <w:sdtPr>
            <w:rPr>
              <w:rFonts w:ascii="Century Gothic" w:hAnsi="Century Gothic"/>
              <w:sz w:val="20"/>
              <w:szCs w:val="20"/>
              <w:lang w:val="id-ID"/>
            </w:rPr>
            <w:id w:val="-573587230"/>
            <w:bibliography/>
          </w:sdtPr>
          <w:sdtEndPr>
            <w:rPr>
              <w:rFonts w:cs="Arial"/>
            </w:rPr>
          </w:sdtEndPr>
          <w:sdtContent>
            <w:p w14:paraId="7C3BF62A" w14:textId="77777777" w:rsidR="00367142" w:rsidRPr="00367142" w:rsidRDefault="00AE0872" w:rsidP="00367142">
              <w:pPr>
                <w:pStyle w:val="Bibliography"/>
                <w:ind w:left="720" w:hanging="720"/>
                <w:rPr>
                  <w:rFonts w:ascii="Century Gothic" w:hAnsi="Century Gothic"/>
                  <w:noProof/>
                  <w:sz w:val="20"/>
                  <w:szCs w:val="20"/>
                  <w:lang w:val="id-ID"/>
                </w:rPr>
              </w:pPr>
              <w:r w:rsidRPr="00367142">
                <w:rPr>
                  <w:rFonts w:ascii="Century Gothic" w:hAnsi="Century Gothic" w:cs="Arial"/>
                  <w:sz w:val="20"/>
                  <w:szCs w:val="20"/>
                  <w:lang w:val="id-ID"/>
                </w:rPr>
                <w:fldChar w:fldCharType="begin"/>
              </w:r>
              <w:r w:rsidRPr="00367142">
                <w:rPr>
                  <w:rFonts w:ascii="Century Gothic" w:hAnsi="Century Gothic" w:cs="Arial"/>
                  <w:sz w:val="20"/>
                  <w:szCs w:val="20"/>
                  <w:lang w:val="id-ID"/>
                </w:rPr>
                <w:instrText xml:space="preserve"> BIBLIOGRAPHY </w:instrText>
              </w:r>
              <w:r w:rsidRPr="00367142">
                <w:rPr>
                  <w:rFonts w:ascii="Century Gothic" w:hAnsi="Century Gothic" w:cs="Arial"/>
                  <w:sz w:val="20"/>
                  <w:szCs w:val="20"/>
                  <w:lang w:val="id-ID"/>
                </w:rPr>
                <w:fldChar w:fldCharType="separate"/>
              </w:r>
              <w:r w:rsidR="00367142" w:rsidRPr="00367142">
                <w:rPr>
                  <w:rFonts w:ascii="Century Gothic" w:hAnsi="Century Gothic"/>
                  <w:noProof/>
                  <w:sz w:val="20"/>
                  <w:szCs w:val="20"/>
                  <w:lang w:val="id-ID"/>
                </w:rPr>
                <w:t xml:space="preserve">Cresswell, J. W. (2014). </w:t>
              </w:r>
              <w:r w:rsidR="00367142" w:rsidRPr="00367142">
                <w:rPr>
                  <w:rFonts w:ascii="Century Gothic" w:hAnsi="Century Gothic"/>
                  <w:i/>
                  <w:iCs/>
                  <w:noProof/>
                  <w:sz w:val="20"/>
                  <w:szCs w:val="20"/>
                  <w:lang w:val="id-ID"/>
                </w:rPr>
                <w:t>Research design : qualitative, quantitative, and mixed methods approaches / John W. Creswell. — 4th ed.</w:t>
              </w:r>
              <w:r w:rsidR="00367142" w:rsidRPr="00367142">
                <w:rPr>
                  <w:rFonts w:ascii="Century Gothic" w:hAnsi="Century Gothic"/>
                  <w:noProof/>
                  <w:sz w:val="20"/>
                  <w:szCs w:val="20"/>
                  <w:lang w:val="id-ID"/>
                </w:rPr>
                <w:t xml:space="preserve"> Los Angeles: Sage.</w:t>
              </w:r>
            </w:p>
            <w:p w14:paraId="235FA3FE" w14:textId="77777777" w:rsidR="00367142" w:rsidRPr="00367142" w:rsidRDefault="00367142" w:rsidP="00367142">
              <w:pPr>
                <w:pStyle w:val="Bibliography"/>
                <w:ind w:left="720" w:hanging="720"/>
                <w:rPr>
                  <w:rFonts w:ascii="Century Gothic" w:hAnsi="Century Gothic"/>
                  <w:noProof/>
                  <w:sz w:val="20"/>
                  <w:szCs w:val="20"/>
                  <w:lang w:val="id-ID"/>
                </w:rPr>
              </w:pPr>
              <w:r w:rsidRPr="00367142">
                <w:rPr>
                  <w:rFonts w:ascii="Century Gothic" w:hAnsi="Century Gothic"/>
                  <w:noProof/>
                  <w:sz w:val="20"/>
                  <w:szCs w:val="20"/>
                  <w:lang w:val="id-ID"/>
                </w:rPr>
                <w:t xml:space="preserve">Kemendag. (2021, November 4). </w:t>
              </w:r>
              <w:r w:rsidRPr="00367142">
                <w:rPr>
                  <w:rFonts w:ascii="Century Gothic" w:hAnsi="Century Gothic"/>
                  <w:i/>
                  <w:iCs/>
                  <w:noProof/>
                  <w:sz w:val="20"/>
                  <w:szCs w:val="20"/>
                  <w:lang w:val="id-ID"/>
                </w:rPr>
                <w:t>www.kemendag.go.id</w:t>
              </w:r>
              <w:r w:rsidRPr="00367142">
                <w:rPr>
                  <w:rFonts w:ascii="Century Gothic" w:hAnsi="Century Gothic"/>
                  <w:noProof/>
                  <w:sz w:val="20"/>
                  <w:szCs w:val="20"/>
                  <w:lang w:val="id-ID"/>
                </w:rPr>
                <w:t>. Diambil kembali dari Kemendag Dorong Pelaku UsahaManfaatkan FTA Centeruntuk Pacu Ekspor: https://www.kemendag.go.id/en/pers/kemendag-dorong-pelaku-usaha-manfaatkan-fta-center-untuk-pacu-ekspor</w:t>
              </w:r>
            </w:p>
            <w:p w14:paraId="27230F22" w14:textId="77777777" w:rsidR="00367142" w:rsidRPr="00367142" w:rsidRDefault="00367142" w:rsidP="00367142">
              <w:pPr>
                <w:pStyle w:val="Bibliography"/>
                <w:ind w:left="720" w:hanging="720"/>
                <w:rPr>
                  <w:rFonts w:ascii="Century Gothic" w:hAnsi="Century Gothic"/>
                  <w:noProof/>
                  <w:sz w:val="20"/>
                  <w:szCs w:val="20"/>
                  <w:lang w:val="id-ID"/>
                </w:rPr>
              </w:pPr>
              <w:r w:rsidRPr="00367142">
                <w:rPr>
                  <w:rFonts w:ascii="Century Gothic" w:hAnsi="Century Gothic"/>
                  <w:noProof/>
                  <w:sz w:val="20"/>
                  <w:szCs w:val="20"/>
                  <w:lang w:val="id-ID"/>
                </w:rPr>
                <w:t xml:space="preserve">Kotler, P. (2016). </w:t>
              </w:r>
              <w:r w:rsidRPr="00367142">
                <w:rPr>
                  <w:rFonts w:ascii="Century Gothic" w:hAnsi="Century Gothic"/>
                  <w:i/>
                  <w:iCs/>
                  <w:noProof/>
                  <w:sz w:val="20"/>
                  <w:szCs w:val="20"/>
                  <w:lang w:val="id-ID"/>
                </w:rPr>
                <w:t>Marketing Management 15th Edition.</w:t>
              </w:r>
              <w:r w:rsidRPr="00367142">
                <w:rPr>
                  <w:rFonts w:ascii="Century Gothic" w:hAnsi="Century Gothic"/>
                  <w:noProof/>
                  <w:sz w:val="20"/>
                  <w:szCs w:val="20"/>
                  <w:lang w:val="id-ID"/>
                </w:rPr>
                <w:t xml:space="preserve"> Harlow : Essex Pearson Education Limited .</w:t>
              </w:r>
            </w:p>
            <w:p w14:paraId="07084640" w14:textId="77777777" w:rsidR="00367142" w:rsidRPr="00367142" w:rsidRDefault="00367142" w:rsidP="00367142">
              <w:pPr>
                <w:pStyle w:val="Bibliography"/>
                <w:ind w:left="720" w:hanging="720"/>
                <w:rPr>
                  <w:rFonts w:ascii="Century Gothic" w:hAnsi="Century Gothic"/>
                  <w:noProof/>
                  <w:sz w:val="20"/>
                  <w:szCs w:val="20"/>
                  <w:lang w:val="id-ID"/>
                </w:rPr>
              </w:pPr>
              <w:r w:rsidRPr="00367142">
                <w:rPr>
                  <w:rFonts w:ascii="Century Gothic" w:hAnsi="Century Gothic"/>
                  <w:noProof/>
                  <w:sz w:val="20"/>
                  <w:szCs w:val="20"/>
                  <w:lang w:val="id-ID"/>
                </w:rPr>
                <w:lastRenderedPageBreak/>
                <w:t xml:space="preserve">Martilla , J. A., &amp; James, J. C. (1977). Importance-performance analysis. </w:t>
              </w:r>
              <w:r w:rsidRPr="00367142">
                <w:rPr>
                  <w:rFonts w:ascii="Century Gothic" w:hAnsi="Century Gothic"/>
                  <w:i/>
                  <w:iCs/>
                  <w:noProof/>
                  <w:sz w:val="20"/>
                  <w:szCs w:val="20"/>
                  <w:lang w:val="id-ID"/>
                </w:rPr>
                <w:t>Journal of Marketing</w:t>
              </w:r>
              <w:r w:rsidRPr="00367142">
                <w:rPr>
                  <w:rFonts w:ascii="Century Gothic" w:hAnsi="Century Gothic"/>
                  <w:noProof/>
                  <w:sz w:val="20"/>
                  <w:szCs w:val="20"/>
                  <w:lang w:val="id-ID"/>
                </w:rPr>
                <w:t>, 77-79.</w:t>
              </w:r>
            </w:p>
            <w:p w14:paraId="637BAFE2" w14:textId="77777777" w:rsidR="00367142" w:rsidRPr="00367142" w:rsidRDefault="00367142" w:rsidP="00367142">
              <w:pPr>
                <w:pStyle w:val="Bibliography"/>
                <w:ind w:left="720" w:hanging="720"/>
                <w:rPr>
                  <w:rFonts w:ascii="Century Gothic" w:hAnsi="Century Gothic"/>
                  <w:noProof/>
                  <w:sz w:val="20"/>
                  <w:szCs w:val="20"/>
                  <w:lang w:val="id-ID"/>
                </w:rPr>
              </w:pPr>
              <w:r w:rsidRPr="00367142">
                <w:rPr>
                  <w:rFonts w:ascii="Century Gothic" w:hAnsi="Century Gothic"/>
                  <w:noProof/>
                  <w:sz w:val="20"/>
                  <w:szCs w:val="20"/>
                  <w:lang w:val="id-ID"/>
                </w:rPr>
                <w:t xml:space="preserve">Parasuman, A., Zeithaml, V. A., &amp; Berry, L. L. (1988). SERVQUAL: A Multiple-Item Scale for Measuring Consumer Perception of Service Quality. </w:t>
              </w:r>
              <w:r w:rsidRPr="00367142">
                <w:rPr>
                  <w:rFonts w:ascii="Century Gothic" w:hAnsi="Century Gothic"/>
                  <w:i/>
                  <w:iCs/>
                  <w:noProof/>
                  <w:sz w:val="20"/>
                  <w:szCs w:val="20"/>
                  <w:lang w:val="id-ID"/>
                </w:rPr>
                <w:t>Journal of Retailing</w:t>
              </w:r>
              <w:r w:rsidRPr="00367142">
                <w:rPr>
                  <w:rFonts w:ascii="Century Gothic" w:hAnsi="Century Gothic"/>
                  <w:noProof/>
                  <w:sz w:val="20"/>
                  <w:szCs w:val="20"/>
                  <w:lang w:val="id-ID"/>
                </w:rPr>
                <w:t>, 12-40.</w:t>
              </w:r>
            </w:p>
            <w:p w14:paraId="1B175881" w14:textId="77777777" w:rsidR="00367142" w:rsidRPr="00367142" w:rsidRDefault="00367142" w:rsidP="00367142">
              <w:pPr>
                <w:pStyle w:val="Bibliography"/>
                <w:ind w:left="720" w:hanging="720"/>
                <w:rPr>
                  <w:rFonts w:ascii="Century Gothic" w:hAnsi="Century Gothic"/>
                  <w:noProof/>
                  <w:sz w:val="20"/>
                  <w:szCs w:val="20"/>
                  <w:lang w:val="id-ID"/>
                </w:rPr>
              </w:pPr>
              <w:r w:rsidRPr="00367142">
                <w:rPr>
                  <w:rFonts w:ascii="Century Gothic" w:hAnsi="Century Gothic"/>
                  <w:noProof/>
                  <w:sz w:val="20"/>
                  <w:szCs w:val="20"/>
                  <w:lang w:val="id-ID"/>
                </w:rPr>
                <w:t>Peraturan Presiden Nomor 79 Tahun 2017 tentang Rencana Kerja Pemerintah Tahun 2018. (t.thn.).</w:t>
              </w:r>
            </w:p>
            <w:p w14:paraId="69AB19D0" w14:textId="77777777" w:rsidR="00367142" w:rsidRPr="00367142" w:rsidRDefault="00367142" w:rsidP="00367142">
              <w:pPr>
                <w:pStyle w:val="Bibliography"/>
                <w:ind w:left="720" w:hanging="720"/>
                <w:rPr>
                  <w:rFonts w:ascii="Century Gothic" w:hAnsi="Century Gothic"/>
                  <w:noProof/>
                  <w:sz w:val="20"/>
                  <w:szCs w:val="20"/>
                  <w:lang w:val="id-ID"/>
                </w:rPr>
              </w:pPr>
              <w:r w:rsidRPr="00367142">
                <w:rPr>
                  <w:rFonts w:ascii="Century Gothic" w:hAnsi="Century Gothic"/>
                  <w:noProof/>
                  <w:sz w:val="20"/>
                  <w:szCs w:val="20"/>
                  <w:lang w:val="id-ID"/>
                </w:rPr>
                <w:t xml:space="preserve">Tambunan, T., &amp; Chandra, A. C. (2014). Utilisation Rate of Free Trade Agreements (FTAs) by Local Micro-, Small- and. </w:t>
              </w:r>
              <w:r w:rsidRPr="00367142">
                <w:rPr>
                  <w:rFonts w:ascii="Century Gothic" w:hAnsi="Century Gothic"/>
                  <w:i/>
                  <w:iCs/>
                  <w:noProof/>
                  <w:sz w:val="20"/>
                  <w:szCs w:val="20"/>
                  <w:lang w:val="id-ID"/>
                </w:rPr>
                <w:t>Journal of International Business and Economics</w:t>
              </w:r>
              <w:r w:rsidRPr="00367142">
                <w:rPr>
                  <w:rFonts w:ascii="Century Gothic" w:hAnsi="Century Gothic"/>
                  <w:noProof/>
                  <w:sz w:val="20"/>
                  <w:szCs w:val="20"/>
                  <w:lang w:val="id-ID"/>
                </w:rPr>
                <w:t>, 133-163.</w:t>
              </w:r>
            </w:p>
            <w:p w14:paraId="640A2F4E" w14:textId="77777777" w:rsidR="00367142" w:rsidRPr="00367142" w:rsidRDefault="00367142" w:rsidP="00367142">
              <w:pPr>
                <w:pStyle w:val="Bibliography"/>
                <w:ind w:left="720" w:hanging="720"/>
                <w:rPr>
                  <w:rFonts w:ascii="Century Gothic" w:hAnsi="Century Gothic"/>
                  <w:noProof/>
                  <w:sz w:val="20"/>
                  <w:szCs w:val="20"/>
                  <w:lang w:val="id-ID"/>
                </w:rPr>
              </w:pPr>
              <w:r w:rsidRPr="00367142">
                <w:rPr>
                  <w:rFonts w:ascii="Century Gothic" w:hAnsi="Century Gothic"/>
                  <w:noProof/>
                  <w:sz w:val="20"/>
                  <w:szCs w:val="20"/>
                  <w:lang w:val="id-ID"/>
                </w:rPr>
                <w:t xml:space="preserve">Tjiptono, F., &amp; Chandra Gregorius. (2019). </w:t>
              </w:r>
              <w:r w:rsidRPr="00367142">
                <w:rPr>
                  <w:rFonts w:ascii="Century Gothic" w:hAnsi="Century Gothic"/>
                  <w:i/>
                  <w:iCs/>
                  <w:noProof/>
                  <w:sz w:val="20"/>
                  <w:szCs w:val="20"/>
                  <w:lang w:val="id-ID"/>
                </w:rPr>
                <w:t>Service, Quality, dan Satisfaction Edisi 5.</w:t>
              </w:r>
              <w:r w:rsidRPr="00367142">
                <w:rPr>
                  <w:rFonts w:ascii="Century Gothic" w:hAnsi="Century Gothic"/>
                  <w:noProof/>
                  <w:sz w:val="20"/>
                  <w:szCs w:val="20"/>
                  <w:lang w:val="id-ID"/>
                </w:rPr>
                <w:t xml:space="preserve"> Yogyakarta: Andi Offset.</w:t>
              </w:r>
            </w:p>
            <w:p w14:paraId="75C5AF01" w14:textId="77777777" w:rsidR="00367142" w:rsidRPr="00367142" w:rsidRDefault="00367142" w:rsidP="00367142">
              <w:pPr>
                <w:pStyle w:val="Bibliography"/>
                <w:ind w:left="720" w:hanging="720"/>
                <w:rPr>
                  <w:rFonts w:ascii="Century Gothic" w:hAnsi="Century Gothic"/>
                  <w:noProof/>
                  <w:sz w:val="20"/>
                  <w:szCs w:val="20"/>
                  <w:lang w:val="id-ID"/>
                </w:rPr>
              </w:pPr>
              <w:r w:rsidRPr="00367142">
                <w:rPr>
                  <w:rFonts w:ascii="Century Gothic" w:hAnsi="Century Gothic"/>
                  <w:noProof/>
                  <w:sz w:val="20"/>
                  <w:szCs w:val="20"/>
                  <w:lang w:val="id-ID"/>
                </w:rPr>
                <w:t xml:space="preserve">Verico, K., &amp; Natanael, Y. (2018, July). Let’s talk about the Free Trade Agreement (FTA): The five ASEAN members highlighting Indonesia. </w:t>
              </w:r>
              <w:r w:rsidRPr="00367142">
                <w:rPr>
                  <w:rFonts w:ascii="Century Gothic" w:hAnsi="Century Gothic"/>
                  <w:i/>
                  <w:iCs/>
                  <w:noProof/>
                  <w:sz w:val="20"/>
                  <w:szCs w:val="20"/>
                  <w:lang w:val="id-ID"/>
                </w:rPr>
                <w:t>LPEM-FEB UI Working Paper 023</w:t>
              </w:r>
              <w:r w:rsidRPr="00367142">
                <w:rPr>
                  <w:rFonts w:ascii="Century Gothic" w:hAnsi="Century Gothic"/>
                  <w:noProof/>
                  <w:sz w:val="20"/>
                  <w:szCs w:val="20"/>
                  <w:lang w:val="id-ID"/>
                </w:rPr>
                <w:t>.</w:t>
              </w:r>
            </w:p>
            <w:p w14:paraId="3BD7BA3E" w14:textId="77777777" w:rsidR="00367142" w:rsidRPr="00367142" w:rsidRDefault="00367142" w:rsidP="00367142">
              <w:pPr>
                <w:pStyle w:val="Bibliography"/>
                <w:ind w:left="720" w:hanging="720"/>
                <w:rPr>
                  <w:rFonts w:ascii="Century Gothic" w:hAnsi="Century Gothic"/>
                  <w:noProof/>
                  <w:sz w:val="20"/>
                  <w:szCs w:val="20"/>
                  <w:lang w:val="id-ID"/>
                </w:rPr>
              </w:pPr>
              <w:r w:rsidRPr="00367142">
                <w:rPr>
                  <w:rFonts w:ascii="Century Gothic" w:hAnsi="Century Gothic"/>
                  <w:noProof/>
                  <w:sz w:val="20"/>
                  <w:szCs w:val="20"/>
                  <w:lang w:val="id-ID"/>
                </w:rPr>
                <w:t xml:space="preserve">Wigjoseptina , C., Yunita , L., &amp; Sofiyandi, Y. (2015). </w:t>
              </w:r>
              <w:r w:rsidRPr="00367142">
                <w:rPr>
                  <w:rFonts w:ascii="Century Gothic" w:hAnsi="Century Gothic"/>
                  <w:i/>
                  <w:iCs/>
                  <w:noProof/>
                  <w:sz w:val="20"/>
                  <w:szCs w:val="20"/>
                  <w:lang w:val="id-ID"/>
                </w:rPr>
                <w:t>Survey on the Utilisation of Free Trade Agreements in Indonesia.</w:t>
              </w:r>
              <w:r w:rsidRPr="00367142">
                <w:rPr>
                  <w:rFonts w:ascii="Century Gothic" w:hAnsi="Century Gothic"/>
                  <w:noProof/>
                  <w:sz w:val="20"/>
                  <w:szCs w:val="20"/>
                  <w:lang w:val="id-ID"/>
                </w:rPr>
                <w:t xml:space="preserve"> Jakarta: Economic Research Institute for ASEAN and East Asia (ERIA).</w:t>
              </w:r>
            </w:p>
            <w:p w14:paraId="321D0DB1" w14:textId="02F80D5B" w:rsidR="00AE0872" w:rsidRPr="00367142" w:rsidRDefault="00AE0872" w:rsidP="00367142">
              <w:pPr>
                <w:rPr>
                  <w:rFonts w:ascii="Century Gothic" w:hAnsi="Century Gothic" w:cs="Arial"/>
                  <w:sz w:val="20"/>
                  <w:szCs w:val="20"/>
                  <w:lang w:val="id-ID"/>
                </w:rPr>
              </w:pPr>
              <w:r w:rsidRPr="00367142">
                <w:rPr>
                  <w:rFonts w:ascii="Century Gothic" w:hAnsi="Century Gothic" w:cs="Arial"/>
                  <w:b/>
                  <w:bCs/>
                  <w:noProof/>
                  <w:sz w:val="20"/>
                  <w:szCs w:val="20"/>
                  <w:lang w:val="id-ID"/>
                </w:rPr>
                <w:fldChar w:fldCharType="end"/>
              </w:r>
            </w:p>
          </w:sdtContent>
        </w:sdt>
      </w:sdtContent>
    </w:sdt>
    <w:p w14:paraId="04E21B17" w14:textId="77777777" w:rsidR="00AE0872" w:rsidRPr="00ED68E6" w:rsidRDefault="00AE0872" w:rsidP="00522D17">
      <w:pPr>
        <w:spacing w:after="120"/>
        <w:ind w:firstLine="720"/>
        <w:jc w:val="both"/>
        <w:rPr>
          <w:lang w:val="id-ID"/>
        </w:rPr>
      </w:pPr>
    </w:p>
    <w:p w14:paraId="49390DF0" w14:textId="77777777" w:rsidR="00522D17" w:rsidRPr="00ED68E6" w:rsidRDefault="00522D17" w:rsidP="00CE75E4">
      <w:pPr>
        <w:pStyle w:val="Pustakajudul"/>
        <w:rPr>
          <w:rFonts w:ascii="Century Gothic" w:hAnsi="Century Gothic"/>
          <w:lang w:val="id-ID"/>
        </w:rPr>
      </w:pPr>
    </w:p>
    <w:p w14:paraId="0756A2BF" w14:textId="77777777" w:rsidR="00ED5490" w:rsidRPr="00ED68E6" w:rsidRDefault="00ED5490" w:rsidP="00CE75E4">
      <w:pPr>
        <w:pStyle w:val="Pustakajudul"/>
        <w:rPr>
          <w:rFonts w:ascii="Century Gothic" w:hAnsi="Century Gothic"/>
          <w:lang w:val="id-ID"/>
        </w:rPr>
      </w:pPr>
    </w:p>
    <w:sectPr w:rsidR="00ED5490" w:rsidRPr="00ED68E6" w:rsidSect="00154FAF">
      <w:type w:val="continuous"/>
      <w:pgSz w:w="11894" w:h="16157" w:code="9"/>
      <w:pgMar w:top="1412" w:right="1140" w:bottom="1701" w:left="1140" w:header="1140" w:footer="114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4312F2" w14:textId="77777777" w:rsidR="00B35447" w:rsidRDefault="00B35447" w:rsidP="008834B4">
      <w:r>
        <w:separator/>
      </w:r>
    </w:p>
  </w:endnote>
  <w:endnote w:type="continuationSeparator" w:id="0">
    <w:p w14:paraId="4FB45EA0" w14:textId="77777777" w:rsidR="00B35447" w:rsidRDefault="00B35447" w:rsidP="00883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roman"/>
    <w:pitch w:val="default"/>
  </w:font>
  <w:font w:name="ヒラギノ角ゴ Pro W3">
    <w:altName w:val="Times New Roman"/>
    <w:charset w:val="00"/>
    <w:family w:val="roman"/>
    <w:pitch w:val="default"/>
  </w:font>
  <w:font w:name="Times New Roman Bold">
    <w:panose1 w:val="02020803070505020304"/>
    <w:charset w:val="00"/>
    <w:family w:val="roman"/>
    <w:pitch w:val="default"/>
  </w:font>
  <w:font w:name="Times New Roman Bold Italic">
    <w:panose1 w:val="02020703060505090304"/>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Avenir Book">
    <w:charset w:val="00"/>
    <w:family w:val="auto"/>
    <w:pitch w:val="variable"/>
    <w:sig w:usb0="00000001" w:usb1="5000204A" w:usb2="00000000" w:usb3="00000000" w:csb0="0000009B" w:csb1="00000000"/>
  </w:font>
  <w:font w:name="Avenir Black">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D502F" w14:textId="71BF6F3F" w:rsidR="00B21A44" w:rsidRPr="00D62FAB" w:rsidRDefault="00B21A44">
    <w:pPr>
      <w:pStyle w:val="Footer"/>
      <w:jc w:val="center"/>
      <w:rPr>
        <w:sz w:val="14"/>
      </w:rPr>
    </w:pPr>
    <w:r w:rsidRPr="00D62FAB">
      <w:rPr>
        <w:sz w:val="14"/>
      </w:rPr>
      <w:fldChar w:fldCharType="begin"/>
    </w:r>
    <w:r w:rsidRPr="00D62FAB">
      <w:rPr>
        <w:sz w:val="14"/>
      </w:rPr>
      <w:instrText xml:space="preserve"> PAGE   \* MERGEFORMAT </w:instrText>
    </w:r>
    <w:r w:rsidRPr="00D62FAB">
      <w:rPr>
        <w:sz w:val="14"/>
      </w:rPr>
      <w:fldChar w:fldCharType="separate"/>
    </w:r>
    <w:r w:rsidR="004907EC">
      <w:rPr>
        <w:noProof/>
        <w:sz w:val="14"/>
      </w:rPr>
      <w:t>10</w:t>
    </w:r>
    <w:r w:rsidRPr="00D62FAB">
      <w:rPr>
        <w:sz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DC806" w14:textId="3411F034" w:rsidR="00B21A44" w:rsidRPr="00FA56E2" w:rsidRDefault="00B21A44">
    <w:pPr>
      <w:pStyle w:val="Footer"/>
      <w:rPr>
        <w:sz w:val="14"/>
        <w:szCs w:val="14"/>
      </w:rPr>
    </w:pPr>
  </w:p>
  <w:p w14:paraId="59EF63BF" w14:textId="69047856" w:rsidR="00B21A44" w:rsidRPr="00C1211D" w:rsidRDefault="00B21A44" w:rsidP="000D53CB">
    <w:pPr>
      <w:pStyle w:val="Footer"/>
      <w:tabs>
        <w:tab w:val="left" w:pos="2880"/>
      </w:tabs>
      <w:ind w:left="2552"/>
      <w:jc w:val="right"/>
    </w:pPr>
    <w:r w:rsidRPr="00C1211D">
      <w:rPr>
        <w:sz w:val="14"/>
      </w:rPr>
      <w:t>© 20</w:t>
    </w:r>
    <w:r w:rsidR="002E0AEB">
      <w:rPr>
        <w:sz w:val="14"/>
      </w:rPr>
      <w:t>2</w:t>
    </w:r>
    <w:r w:rsidR="009E64CC">
      <w:rPr>
        <w:sz w:val="14"/>
      </w:rPr>
      <w:t>2</w:t>
    </w:r>
    <w:r w:rsidRPr="00C1211D">
      <w:rPr>
        <w:sz w:val="14"/>
      </w:rPr>
      <w:t xml:space="preserve"> </w:t>
    </w:r>
    <w:r w:rsidR="00923DFB">
      <w:rPr>
        <w:sz w:val="14"/>
        <w:lang w:val="id-ID"/>
      </w:rPr>
      <w:t xml:space="preserve">Segala bentuk plagiarisme dan penyalahgunaan hak kekayaan intelektual akibat diterbitkannya </w:t>
    </w:r>
    <w:proofErr w:type="spellStart"/>
    <w:r w:rsidR="00164C31">
      <w:rPr>
        <w:sz w:val="14"/>
      </w:rPr>
      <w:t>naskah</w:t>
    </w:r>
    <w:proofErr w:type="spellEnd"/>
    <w:r w:rsidR="00164C31">
      <w:rPr>
        <w:sz w:val="14"/>
      </w:rPr>
      <w:t xml:space="preserve"> </w:t>
    </w:r>
    <w:proofErr w:type="spellStart"/>
    <w:r w:rsidR="00164C31">
      <w:rPr>
        <w:sz w:val="14"/>
      </w:rPr>
      <w:t>karya</w:t>
    </w:r>
    <w:proofErr w:type="spellEnd"/>
    <w:r w:rsidR="00164C31">
      <w:rPr>
        <w:sz w:val="14"/>
      </w:rPr>
      <w:t xml:space="preserve"> </w:t>
    </w:r>
    <w:proofErr w:type="spellStart"/>
    <w:r w:rsidR="00164C31">
      <w:rPr>
        <w:sz w:val="14"/>
      </w:rPr>
      <w:t>tulis</w:t>
    </w:r>
    <w:proofErr w:type="spellEnd"/>
    <w:r w:rsidR="00164C31">
      <w:rPr>
        <w:sz w:val="14"/>
      </w:rPr>
      <w:t xml:space="preserve"> </w:t>
    </w:r>
    <w:proofErr w:type="spellStart"/>
    <w:r w:rsidR="00164C31">
      <w:rPr>
        <w:sz w:val="14"/>
      </w:rPr>
      <w:t>ilmiah</w:t>
    </w:r>
    <w:proofErr w:type="spellEnd"/>
    <w:r w:rsidR="00923DFB">
      <w:rPr>
        <w:sz w:val="14"/>
        <w:lang w:val="id-ID"/>
      </w:rPr>
      <w:t xml:space="preserve"> ini sepenuhnya menjadi tanggung jawab penulis</w:t>
    </w:r>
    <w:r w:rsidRPr="00C1211D">
      <w:rPr>
        <w:sz w:val="14"/>
      </w:rPr>
      <w:t>.</w:t>
    </w:r>
  </w:p>
  <w:p w14:paraId="4FD280DC" w14:textId="77777777" w:rsidR="00B21A44" w:rsidRPr="00C1211D" w:rsidRDefault="00B21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86842" w14:textId="77777777" w:rsidR="00B35447" w:rsidRDefault="00B35447" w:rsidP="008834B4">
      <w:r>
        <w:separator/>
      </w:r>
    </w:p>
  </w:footnote>
  <w:footnote w:type="continuationSeparator" w:id="0">
    <w:p w14:paraId="04C43EBF" w14:textId="77777777" w:rsidR="00B35447" w:rsidRDefault="00B35447" w:rsidP="00883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472A" w14:textId="083FF1FB" w:rsidR="00983EA0" w:rsidRPr="00BF5256" w:rsidRDefault="00983EA0" w:rsidP="00983EA0">
    <w:pPr>
      <w:rPr>
        <w:sz w:val="14"/>
      </w:rPr>
    </w:pPr>
    <w:r>
      <w:rPr>
        <w:sz w:val="14"/>
      </w:rPr>
      <w:t xml:space="preserve">Diana </w:t>
    </w:r>
    <w:proofErr w:type="spellStart"/>
    <w:r>
      <w:rPr>
        <w:sz w:val="14"/>
      </w:rPr>
      <w:t>Darmawan</w:t>
    </w:r>
    <w:proofErr w:type="spellEnd"/>
    <w:r w:rsidRPr="00E13E10">
      <w:rPr>
        <w:sz w:val="14"/>
      </w:rPr>
      <w:t xml:space="preserve">, </w:t>
    </w:r>
    <w:proofErr w:type="spellStart"/>
    <w:r>
      <w:rPr>
        <w:i/>
        <w:sz w:val="14"/>
      </w:rPr>
      <w:t>Cendekia</w:t>
    </w:r>
    <w:proofErr w:type="spellEnd"/>
    <w:r>
      <w:rPr>
        <w:i/>
        <w:sz w:val="14"/>
      </w:rPr>
      <w:t xml:space="preserve"> </w:t>
    </w:r>
    <w:proofErr w:type="spellStart"/>
    <w:r>
      <w:rPr>
        <w:i/>
        <w:sz w:val="14"/>
      </w:rPr>
      <w:t>Niaga</w:t>
    </w:r>
    <w:proofErr w:type="spellEnd"/>
    <w:r>
      <w:rPr>
        <w:i/>
        <w:sz w:val="14"/>
      </w:rPr>
      <w:t>: Trade Development and Studies</w:t>
    </w:r>
    <w:r>
      <w:rPr>
        <w:iCs/>
        <w:sz w:val="14"/>
      </w:rPr>
      <w:t>.</w:t>
    </w:r>
    <w:r>
      <w:rPr>
        <w:i/>
        <w:sz w:val="14"/>
      </w:rPr>
      <w:t xml:space="preserve"> </w:t>
    </w:r>
    <w:r w:rsidRPr="00E13E10">
      <w:rPr>
        <w:sz w:val="14"/>
      </w:rPr>
      <w:t>20</w:t>
    </w:r>
    <w:r>
      <w:rPr>
        <w:sz w:val="14"/>
      </w:rPr>
      <w:t xml:space="preserve">22. </w:t>
    </w:r>
    <w:r w:rsidRPr="00E13E10">
      <w:rPr>
        <w:sz w:val="14"/>
      </w:rPr>
      <w:t xml:space="preserve">Volume </w:t>
    </w:r>
    <w:r>
      <w:rPr>
        <w:sz w:val="14"/>
      </w:rPr>
      <w:t xml:space="preserve">6 </w:t>
    </w:r>
    <w:r>
      <w:rPr>
        <w:sz w:val="14"/>
        <w:lang w:val="id-ID"/>
      </w:rPr>
      <w:t>Nomor</w:t>
    </w:r>
    <w:r>
      <w:rPr>
        <w:sz w:val="14"/>
      </w:rPr>
      <w:t xml:space="preserve"> 2: </w:t>
    </w:r>
    <w:r w:rsidR="0018761C">
      <w:rPr>
        <w:sz w:val="14"/>
      </w:rPr>
      <w:t>9</w:t>
    </w:r>
    <w:r w:rsidR="00222F20">
      <w:rPr>
        <w:sz w:val="14"/>
      </w:rPr>
      <w:t>1</w:t>
    </w:r>
    <w:r>
      <w:rPr>
        <w:sz w:val="14"/>
      </w:rPr>
      <w:t>-10</w:t>
    </w:r>
    <w:r w:rsidR="00222F20">
      <w:rPr>
        <w:sz w:val="14"/>
      </w:rPr>
      <w:t>0</w:t>
    </w:r>
  </w:p>
  <w:p w14:paraId="44DB0F31" w14:textId="77777777" w:rsidR="00983EA0" w:rsidRPr="00E13E10" w:rsidRDefault="00983EA0" w:rsidP="00983EA0">
    <w:pPr>
      <w:pStyle w:val="Header"/>
      <w:pBdr>
        <w:bottom w:val="single" w:sz="4" w:space="1" w:color="auto"/>
      </w:pBdr>
      <w:jc w:val="both"/>
      <w:rPr>
        <w:b/>
        <w:sz w:val="14"/>
      </w:rPr>
    </w:pPr>
  </w:p>
  <w:p w14:paraId="5D914AB4" w14:textId="77777777" w:rsidR="00B21A44" w:rsidRPr="00983EA0" w:rsidRDefault="00B21A44" w:rsidP="00983E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C2439" w14:textId="77777777" w:rsidR="00B21A44" w:rsidRPr="008834B4" w:rsidRDefault="00471381" w:rsidP="00A167AB">
    <w:pPr>
      <w:pStyle w:val="Header"/>
      <w:tabs>
        <w:tab w:val="left" w:pos="7566"/>
        <w:tab w:val="right" w:pos="9020"/>
      </w:tabs>
      <w:rPr>
        <w:rFonts w:ascii="Avenir Black" w:hAnsi="Avenir Black"/>
      </w:rPr>
    </w:pPr>
    <w:r>
      <w:rPr>
        <w:rFonts w:ascii="Avenir Book" w:hAnsi="Avenir Book"/>
        <w:noProof/>
        <w:sz w:val="20"/>
      </w:rPr>
      <mc:AlternateContent>
        <mc:Choice Requires="wps">
          <w:drawing>
            <wp:anchor distT="0" distB="0" distL="114300" distR="114300" simplePos="0" relativeHeight="251661312" behindDoc="0" locked="0" layoutInCell="1" allowOverlap="1" wp14:anchorId="60F249BF" wp14:editId="5EBC5E38">
              <wp:simplePos x="0" y="0"/>
              <wp:positionH relativeFrom="column">
                <wp:posOffset>29845</wp:posOffset>
              </wp:positionH>
              <wp:positionV relativeFrom="paragraph">
                <wp:posOffset>-446736</wp:posOffset>
              </wp:positionV>
              <wp:extent cx="6098540" cy="60960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8540" cy="609600"/>
                      </a:xfrm>
                      <a:prstGeom prst="rect">
                        <a:avLst/>
                      </a:prstGeom>
                      <a:solidFill>
                        <a:srgbClr val="1F497D"/>
                      </a:solidFill>
                      <a:ln>
                        <a:noFill/>
                      </a:ln>
                    </wps:spPr>
                    <wps:txbx>
                      <w:txbxContent>
                        <w:p w14:paraId="5ACD9004" w14:textId="5E2FACE3" w:rsidR="00471381" w:rsidRPr="00164C31" w:rsidRDefault="00471381" w:rsidP="00221301">
                          <w:pPr>
                            <w:ind w:right="136"/>
                            <w:jc w:val="right"/>
                            <w:rPr>
                              <w:rFonts w:ascii="Century Gothic" w:hAnsi="Century Gothic"/>
                              <w:b/>
                              <w:color w:val="FFFFFF" w:themeColor="background1"/>
                            </w:rPr>
                          </w:pPr>
                          <w:r w:rsidRPr="00164C31">
                            <w:rPr>
                              <w:rFonts w:ascii="Century Gothic" w:hAnsi="Century Gothic"/>
                              <w:b/>
                              <w:color w:val="FFFFFF" w:themeColor="background1"/>
                            </w:rPr>
                            <w:t xml:space="preserve"> </w:t>
                          </w:r>
                          <w:proofErr w:type="spellStart"/>
                          <w:r w:rsidR="00164C31" w:rsidRPr="00164C31">
                            <w:rPr>
                              <w:rFonts w:ascii="Century Gothic" w:hAnsi="Century Gothic"/>
                              <w:b/>
                              <w:color w:val="FFFFFF" w:themeColor="background1"/>
                            </w:rPr>
                            <w:t>Cendekia</w:t>
                          </w:r>
                          <w:proofErr w:type="spellEnd"/>
                          <w:r w:rsidR="00164C31" w:rsidRPr="00164C31">
                            <w:rPr>
                              <w:rFonts w:ascii="Century Gothic" w:hAnsi="Century Gothic"/>
                              <w:b/>
                              <w:color w:val="FFFFFF" w:themeColor="background1"/>
                            </w:rPr>
                            <w:t xml:space="preserve"> </w:t>
                          </w:r>
                          <w:proofErr w:type="spellStart"/>
                          <w:r w:rsidR="00164C31" w:rsidRPr="00164C31">
                            <w:rPr>
                              <w:rFonts w:ascii="Century Gothic" w:hAnsi="Century Gothic"/>
                              <w:b/>
                              <w:color w:val="FFFFFF" w:themeColor="background1"/>
                            </w:rPr>
                            <w:t>Niaga</w:t>
                          </w:r>
                          <w:proofErr w:type="spellEnd"/>
                        </w:p>
                        <w:p w14:paraId="6608676A" w14:textId="1B410AF6" w:rsidR="00164C31" w:rsidRPr="00164C31" w:rsidRDefault="00164C31" w:rsidP="00221301">
                          <w:pPr>
                            <w:ind w:right="136"/>
                            <w:jc w:val="right"/>
                            <w:rPr>
                              <w:rFonts w:ascii="Century Gothic" w:hAnsi="Century Gothic"/>
                              <w:b/>
                              <w:i/>
                              <w:color w:val="FFFFFF" w:themeColor="background1"/>
                              <w:sz w:val="18"/>
                            </w:rPr>
                          </w:pPr>
                          <w:r w:rsidRPr="00164C31">
                            <w:rPr>
                              <w:rFonts w:ascii="Century Gothic" w:hAnsi="Century Gothic"/>
                              <w:b/>
                              <w:color w:val="FFFFFF" w:themeColor="background1"/>
                            </w:rPr>
                            <w:t>Journal of Trade Development and Studies</w:t>
                          </w:r>
                        </w:p>
                        <w:p w14:paraId="1B1AE28A" w14:textId="34989F9A" w:rsidR="00471381" w:rsidRPr="00164C31" w:rsidRDefault="00471381" w:rsidP="00221301">
                          <w:pPr>
                            <w:ind w:right="136"/>
                            <w:jc w:val="right"/>
                            <w:rPr>
                              <w:rFonts w:ascii="Century Gothic" w:hAnsi="Century Gothic"/>
                              <w:b/>
                              <w:color w:val="FFFFFF" w:themeColor="background1"/>
                              <w:sz w:val="18"/>
                            </w:rPr>
                          </w:pPr>
                          <w:r w:rsidRPr="00164C31">
                            <w:rPr>
                              <w:rFonts w:ascii="Century Gothic" w:hAnsi="Century Gothic"/>
                              <w:b/>
                              <w:i/>
                              <w:color w:val="FFFFFF" w:themeColor="background1"/>
                              <w:sz w:val="18"/>
                            </w:rPr>
                            <w:t xml:space="preserve"> </w:t>
                          </w:r>
                          <w:r w:rsidRPr="00164C31">
                            <w:rPr>
                              <w:rFonts w:ascii="Century Gothic" w:hAnsi="Century Gothic"/>
                              <w:b/>
                              <w:color w:val="FFFFFF" w:themeColor="background1"/>
                              <w:sz w:val="18"/>
                            </w:rPr>
                            <w:t xml:space="preserve">p-ISSN </w:t>
                          </w:r>
                          <w:r w:rsidR="00164C31" w:rsidRPr="00164C31">
                            <w:rPr>
                              <w:rFonts w:ascii="Century Gothic" w:hAnsi="Century Gothic"/>
                              <w:b/>
                              <w:color w:val="FFFFFF" w:themeColor="background1"/>
                              <w:sz w:val="18"/>
                            </w:rPr>
                            <w:t xml:space="preserve"> 2548-3137</w:t>
                          </w:r>
                          <w:r w:rsidRPr="00164C31">
                            <w:rPr>
                              <w:rFonts w:ascii="Century Gothic" w:hAnsi="Century Gothic"/>
                              <w:b/>
                              <w:color w:val="FFFFFF" w:themeColor="background1"/>
                              <w:sz w:val="18"/>
                            </w:rPr>
                            <w:t xml:space="preserve">, e-ISSN </w:t>
                          </w:r>
                          <w:r w:rsidR="00164C31" w:rsidRPr="00164C31">
                            <w:rPr>
                              <w:rFonts w:ascii="Century Gothic" w:hAnsi="Century Gothic"/>
                              <w:b/>
                              <w:color w:val="FFFFFF" w:themeColor="background1"/>
                              <w:sz w:val="18"/>
                            </w:rPr>
                            <w:t>2548-3145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0F249BF" id="Rectangle 4" o:spid="_x0000_s1027" style="position:absolute;margin-left:2.35pt;margin-top:-35.2pt;width:480.2pt;height: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" fillcolor="#1f497d" stroked="f">
              <v:textbox>
                <w:txbxContent>
                  <w:p w14:paraId="5ACD9004" w14:textId="5E2FACE3" w:rsidR="00471381" w:rsidRPr="00164C31" w:rsidRDefault="00471381" w:rsidP="00221301">
                    <w:pPr>
                      <w:ind w:right="136"/>
                      <w:jc w:val="right"/>
                      <w:rPr>
                        <w:rFonts w:ascii="Century Gothic" w:hAnsi="Century Gothic"/>
                        <w:b/>
                        <w:color w:val="FFFFFF" w:themeColor="background1"/>
                      </w:rPr>
                    </w:pPr>
                    <w:r w:rsidRPr="00164C31">
                      <w:rPr>
                        <w:rFonts w:ascii="Century Gothic" w:hAnsi="Century Gothic"/>
                        <w:b/>
                        <w:color w:val="FFFFFF" w:themeColor="background1"/>
                      </w:rPr>
                      <w:t xml:space="preserve"> </w:t>
                    </w:r>
                    <w:proofErr w:type="spellStart"/>
                    <w:r w:rsidR="00164C31" w:rsidRPr="00164C31">
                      <w:rPr>
                        <w:rFonts w:ascii="Century Gothic" w:hAnsi="Century Gothic"/>
                        <w:b/>
                        <w:color w:val="FFFFFF" w:themeColor="background1"/>
                      </w:rPr>
                      <w:t>Cendekia</w:t>
                    </w:r>
                    <w:proofErr w:type="spellEnd"/>
                    <w:r w:rsidR="00164C31" w:rsidRPr="00164C31">
                      <w:rPr>
                        <w:rFonts w:ascii="Century Gothic" w:hAnsi="Century Gothic"/>
                        <w:b/>
                        <w:color w:val="FFFFFF" w:themeColor="background1"/>
                      </w:rPr>
                      <w:t xml:space="preserve"> </w:t>
                    </w:r>
                    <w:proofErr w:type="spellStart"/>
                    <w:r w:rsidR="00164C31" w:rsidRPr="00164C31">
                      <w:rPr>
                        <w:rFonts w:ascii="Century Gothic" w:hAnsi="Century Gothic"/>
                        <w:b/>
                        <w:color w:val="FFFFFF" w:themeColor="background1"/>
                      </w:rPr>
                      <w:t>Niaga</w:t>
                    </w:r>
                    <w:proofErr w:type="spellEnd"/>
                  </w:p>
                  <w:p w14:paraId="6608676A" w14:textId="1B410AF6" w:rsidR="00164C31" w:rsidRPr="00164C31" w:rsidRDefault="00164C31" w:rsidP="00221301">
                    <w:pPr>
                      <w:ind w:right="136"/>
                      <w:jc w:val="right"/>
                      <w:rPr>
                        <w:rFonts w:ascii="Century Gothic" w:hAnsi="Century Gothic"/>
                        <w:b/>
                        <w:i/>
                        <w:color w:val="FFFFFF" w:themeColor="background1"/>
                        <w:sz w:val="18"/>
                      </w:rPr>
                    </w:pPr>
                    <w:r w:rsidRPr="00164C31">
                      <w:rPr>
                        <w:rFonts w:ascii="Century Gothic" w:hAnsi="Century Gothic"/>
                        <w:b/>
                        <w:color w:val="FFFFFF" w:themeColor="background1"/>
                      </w:rPr>
                      <w:t>Journal of Trade Development and Studies</w:t>
                    </w:r>
                  </w:p>
                  <w:p w14:paraId="1B1AE28A" w14:textId="34989F9A" w:rsidR="00471381" w:rsidRPr="00164C31" w:rsidRDefault="00471381" w:rsidP="00221301">
                    <w:pPr>
                      <w:ind w:right="136"/>
                      <w:jc w:val="right"/>
                      <w:rPr>
                        <w:rFonts w:ascii="Century Gothic" w:hAnsi="Century Gothic"/>
                        <w:b/>
                        <w:color w:val="FFFFFF" w:themeColor="background1"/>
                        <w:sz w:val="18"/>
                      </w:rPr>
                    </w:pPr>
                    <w:r w:rsidRPr="00164C31">
                      <w:rPr>
                        <w:rFonts w:ascii="Century Gothic" w:hAnsi="Century Gothic"/>
                        <w:b/>
                        <w:i/>
                        <w:color w:val="FFFFFF" w:themeColor="background1"/>
                        <w:sz w:val="18"/>
                      </w:rPr>
                      <w:t xml:space="preserve"> </w:t>
                    </w:r>
                    <w:r w:rsidRPr="00164C31">
                      <w:rPr>
                        <w:rFonts w:ascii="Century Gothic" w:hAnsi="Century Gothic"/>
                        <w:b/>
                        <w:color w:val="FFFFFF" w:themeColor="background1"/>
                        <w:sz w:val="18"/>
                      </w:rPr>
                      <w:t xml:space="preserve">p-ISSN </w:t>
                    </w:r>
                    <w:r w:rsidR="00164C31" w:rsidRPr="00164C31">
                      <w:rPr>
                        <w:rFonts w:ascii="Century Gothic" w:hAnsi="Century Gothic"/>
                        <w:b/>
                        <w:color w:val="FFFFFF" w:themeColor="background1"/>
                        <w:sz w:val="18"/>
                      </w:rPr>
                      <w:t xml:space="preserve"> 2548-3137</w:t>
                    </w:r>
                    <w:r w:rsidRPr="00164C31">
                      <w:rPr>
                        <w:rFonts w:ascii="Century Gothic" w:hAnsi="Century Gothic"/>
                        <w:b/>
                        <w:color w:val="FFFFFF" w:themeColor="background1"/>
                        <w:sz w:val="18"/>
                      </w:rPr>
                      <w:t xml:space="preserve">, e-ISSN </w:t>
                    </w:r>
                    <w:r w:rsidR="00164C31" w:rsidRPr="00164C31">
                      <w:rPr>
                        <w:rFonts w:ascii="Century Gothic" w:hAnsi="Century Gothic"/>
                        <w:b/>
                        <w:color w:val="FFFFFF" w:themeColor="background1"/>
                        <w:sz w:val="18"/>
                      </w:rPr>
                      <w:t>2548-3145</w:t>
                    </w:r>
                  </w:p>
                </w:txbxContent>
              </v:textbox>
            </v:rect>
          </w:pict>
        </mc:Fallback>
      </mc:AlternateContent>
    </w:r>
    <w:r w:rsidR="00B21A44">
      <w:rPr>
        <w:rFonts w:ascii="Avenir Black" w:hAnsi="Avenir Black"/>
      </w:rPr>
      <w:tab/>
    </w:r>
    <w:r w:rsidR="00B21A44">
      <w:rPr>
        <w:rFonts w:ascii="Avenir Black" w:hAnsi="Avenir Black"/>
      </w:rPr>
      <w:tab/>
    </w:r>
    <w:r w:rsidR="00B21A44">
      <w:rPr>
        <w:rFonts w:ascii="Avenir Black" w:hAnsi="Avenir Black"/>
      </w:rPr>
      <w:tab/>
    </w:r>
    <w:r w:rsidR="00B21A44">
      <w:rPr>
        <w:rFonts w:ascii="Avenir Black" w:hAnsi="Avenir Black"/>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15:restartNumberingAfterBreak="0">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0E6C4D"/>
    <w:multiLevelType w:val="hybridMultilevel"/>
    <w:tmpl w:val="11C65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55433E67"/>
    <w:multiLevelType w:val="hybridMultilevel"/>
    <w:tmpl w:val="85A21E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7B72251B"/>
    <w:multiLevelType w:val="multilevel"/>
    <w:tmpl w:val="4A3C3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7FF52E9F"/>
    <w:multiLevelType w:val="hybridMultilevel"/>
    <w:tmpl w:val="9DFEC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868709">
    <w:abstractNumId w:val="0"/>
  </w:num>
  <w:num w:numId="2" w16cid:durableId="1552956442">
    <w:abstractNumId w:val="2"/>
  </w:num>
  <w:num w:numId="3" w16cid:durableId="658651413">
    <w:abstractNumId w:val="4"/>
  </w:num>
  <w:num w:numId="4" w16cid:durableId="1364135438">
    <w:abstractNumId w:val="1"/>
  </w:num>
  <w:num w:numId="5" w16cid:durableId="2070298312">
    <w:abstractNumId w:val="5"/>
  </w:num>
  <w:num w:numId="6" w16cid:durableId="16302843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96&lt;/item&gt;&lt;item&gt;2397&lt;/item&gt;&lt;item&gt;2398&lt;/item&gt;&lt;item&gt;2400&lt;/item&gt;&lt;item&gt;2401&lt;/item&gt;&lt;item&gt;2402&lt;/item&gt;&lt;item&gt;2405&lt;/item&gt;&lt;item&gt;2407&lt;/item&gt;&lt;item&gt;2460&lt;/item&gt;&lt;item&gt;2471&lt;/item&gt;&lt;item&gt;2472&lt;/item&gt;&lt;item&gt;2473&lt;/item&gt;&lt;item&gt;2474&lt;/item&gt;&lt;item&gt;2475&lt;/item&gt;&lt;item&gt;2478&lt;/item&gt;&lt;item&gt;2479&lt;/item&gt;&lt;item&gt;2480&lt;/item&gt;&lt;item&gt;2481&lt;/item&gt;&lt;item&gt;2482&lt;/item&gt;&lt;item&gt;2483&lt;/item&gt;&lt;item&gt;2484&lt;/item&gt;&lt;item&gt;2485&lt;/item&gt;&lt;item&gt;2486&lt;/item&gt;&lt;item&gt;2487&lt;/item&gt;&lt;/record-ids&gt;&lt;/item&gt;&lt;/Libraries&gt;"/>
  </w:docVars>
  <w:rsids>
    <w:rsidRoot w:val="00BA0205"/>
    <w:rsid w:val="00002793"/>
    <w:rsid w:val="00011BDA"/>
    <w:rsid w:val="00014011"/>
    <w:rsid w:val="0001490C"/>
    <w:rsid w:val="00015EAD"/>
    <w:rsid w:val="000249DD"/>
    <w:rsid w:val="000424CB"/>
    <w:rsid w:val="0005122A"/>
    <w:rsid w:val="000548FD"/>
    <w:rsid w:val="00067D79"/>
    <w:rsid w:val="000702F6"/>
    <w:rsid w:val="000714F0"/>
    <w:rsid w:val="00085B45"/>
    <w:rsid w:val="00091EDD"/>
    <w:rsid w:val="00093468"/>
    <w:rsid w:val="000A1713"/>
    <w:rsid w:val="000A1A61"/>
    <w:rsid w:val="000A35AF"/>
    <w:rsid w:val="000A4990"/>
    <w:rsid w:val="000A5DB7"/>
    <w:rsid w:val="000B682B"/>
    <w:rsid w:val="000C3154"/>
    <w:rsid w:val="000D53CB"/>
    <w:rsid w:val="000D5D7E"/>
    <w:rsid w:val="000D7DF7"/>
    <w:rsid w:val="000E4B6D"/>
    <w:rsid w:val="000F51BB"/>
    <w:rsid w:val="000F78C4"/>
    <w:rsid w:val="001017F8"/>
    <w:rsid w:val="001054E9"/>
    <w:rsid w:val="00106EE9"/>
    <w:rsid w:val="00115954"/>
    <w:rsid w:val="00120626"/>
    <w:rsid w:val="001301A4"/>
    <w:rsid w:val="0014336E"/>
    <w:rsid w:val="00145228"/>
    <w:rsid w:val="00154FAF"/>
    <w:rsid w:val="001609C1"/>
    <w:rsid w:val="00161C23"/>
    <w:rsid w:val="00164B2B"/>
    <w:rsid w:val="00164C31"/>
    <w:rsid w:val="00167094"/>
    <w:rsid w:val="0017024C"/>
    <w:rsid w:val="0017670A"/>
    <w:rsid w:val="00181F5A"/>
    <w:rsid w:val="00183EC0"/>
    <w:rsid w:val="00184ED3"/>
    <w:rsid w:val="0018761C"/>
    <w:rsid w:val="00192A1D"/>
    <w:rsid w:val="00197461"/>
    <w:rsid w:val="001A0E80"/>
    <w:rsid w:val="001A4206"/>
    <w:rsid w:val="001C269D"/>
    <w:rsid w:val="001C480C"/>
    <w:rsid w:val="001C6038"/>
    <w:rsid w:val="001C7358"/>
    <w:rsid w:val="001D7A3D"/>
    <w:rsid w:val="001D7CA6"/>
    <w:rsid w:val="001E0531"/>
    <w:rsid w:val="001F002D"/>
    <w:rsid w:val="001F51CD"/>
    <w:rsid w:val="002076A1"/>
    <w:rsid w:val="0021217E"/>
    <w:rsid w:val="00221301"/>
    <w:rsid w:val="0022160B"/>
    <w:rsid w:val="0022198B"/>
    <w:rsid w:val="00222528"/>
    <w:rsid w:val="00222F20"/>
    <w:rsid w:val="00244211"/>
    <w:rsid w:val="00247BAC"/>
    <w:rsid w:val="00253CF9"/>
    <w:rsid w:val="00256531"/>
    <w:rsid w:val="002704CB"/>
    <w:rsid w:val="0027481D"/>
    <w:rsid w:val="0027688C"/>
    <w:rsid w:val="002839B7"/>
    <w:rsid w:val="00284044"/>
    <w:rsid w:val="00285B14"/>
    <w:rsid w:val="00292814"/>
    <w:rsid w:val="0029618B"/>
    <w:rsid w:val="002A07F7"/>
    <w:rsid w:val="002A6639"/>
    <w:rsid w:val="002B029F"/>
    <w:rsid w:val="002B4F1C"/>
    <w:rsid w:val="002B53A9"/>
    <w:rsid w:val="002C3B4D"/>
    <w:rsid w:val="002C7DDB"/>
    <w:rsid w:val="002D2588"/>
    <w:rsid w:val="002D6FA4"/>
    <w:rsid w:val="002D76C8"/>
    <w:rsid w:val="002E0AEB"/>
    <w:rsid w:val="002F5B8D"/>
    <w:rsid w:val="00302A21"/>
    <w:rsid w:val="00305102"/>
    <w:rsid w:val="00306300"/>
    <w:rsid w:val="003070DB"/>
    <w:rsid w:val="00315725"/>
    <w:rsid w:val="00316CD5"/>
    <w:rsid w:val="00321698"/>
    <w:rsid w:val="003352E8"/>
    <w:rsid w:val="00337DEE"/>
    <w:rsid w:val="00340AD4"/>
    <w:rsid w:val="00340E1D"/>
    <w:rsid w:val="003451C6"/>
    <w:rsid w:val="00346C05"/>
    <w:rsid w:val="00364615"/>
    <w:rsid w:val="00366132"/>
    <w:rsid w:val="00367142"/>
    <w:rsid w:val="0037001B"/>
    <w:rsid w:val="003759DB"/>
    <w:rsid w:val="00385774"/>
    <w:rsid w:val="003A2DE8"/>
    <w:rsid w:val="003A6528"/>
    <w:rsid w:val="003C195A"/>
    <w:rsid w:val="003C5838"/>
    <w:rsid w:val="003C77AD"/>
    <w:rsid w:val="003F5908"/>
    <w:rsid w:val="0040725F"/>
    <w:rsid w:val="0041489E"/>
    <w:rsid w:val="00417860"/>
    <w:rsid w:val="00427243"/>
    <w:rsid w:val="00432502"/>
    <w:rsid w:val="0043367B"/>
    <w:rsid w:val="00440A7F"/>
    <w:rsid w:val="004468FE"/>
    <w:rsid w:val="00447BEA"/>
    <w:rsid w:val="00452B2A"/>
    <w:rsid w:val="00461E37"/>
    <w:rsid w:val="004626B1"/>
    <w:rsid w:val="00464FBD"/>
    <w:rsid w:val="00471381"/>
    <w:rsid w:val="00471A4A"/>
    <w:rsid w:val="0047262D"/>
    <w:rsid w:val="0048214E"/>
    <w:rsid w:val="004907EC"/>
    <w:rsid w:val="00494437"/>
    <w:rsid w:val="004B6F4D"/>
    <w:rsid w:val="004C1537"/>
    <w:rsid w:val="004C7E2F"/>
    <w:rsid w:val="004D11FB"/>
    <w:rsid w:val="004D75B8"/>
    <w:rsid w:val="004E0CBE"/>
    <w:rsid w:val="004E40A7"/>
    <w:rsid w:val="004E796A"/>
    <w:rsid w:val="0050095E"/>
    <w:rsid w:val="005013A9"/>
    <w:rsid w:val="0050592B"/>
    <w:rsid w:val="00511049"/>
    <w:rsid w:val="00512D3B"/>
    <w:rsid w:val="00514265"/>
    <w:rsid w:val="0052165B"/>
    <w:rsid w:val="00522D17"/>
    <w:rsid w:val="00530252"/>
    <w:rsid w:val="00532219"/>
    <w:rsid w:val="0053436A"/>
    <w:rsid w:val="00542E5F"/>
    <w:rsid w:val="00544ED2"/>
    <w:rsid w:val="00545FA3"/>
    <w:rsid w:val="0055713B"/>
    <w:rsid w:val="00565553"/>
    <w:rsid w:val="00575E58"/>
    <w:rsid w:val="00580595"/>
    <w:rsid w:val="005A50B9"/>
    <w:rsid w:val="005B0621"/>
    <w:rsid w:val="005B23C1"/>
    <w:rsid w:val="005C5E9E"/>
    <w:rsid w:val="005D64C7"/>
    <w:rsid w:val="005E392A"/>
    <w:rsid w:val="005F6234"/>
    <w:rsid w:val="00603D2A"/>
    <w:rsid w:val="00606911"/>
    <w:rsid w:val="00607FC8"/>
    <w:rsid w:val="00613245"/>
    <w:rsid w:val="00646DB8"/>
    <w:rsid w:val="00660497"/>
    <w:rsid w:val="00680BCC"/>
    <w:rsid w:val="00682117"/>
    <w:rsid w:val="00686CE1"/>
    <w:rsid w:val="00695840"/>
    <w:rsid w:val="006A18DF"/>
    <w:rsid w:val="006A761E"/>
    <w:rsid w:val="006B2284"/>
    <w:rsid w:val="006C4214"/>
    <w:rsid w:val="006D19AF"/>
    <w:rsid w:val="006D7141"/>
    <w:rsid w:val="006E0907"/>
    <w:rsid w:val="006E4270"/>
    <w:rsid w:val="006F1E24"/>
    <w:rsid w:val="006F3D3C"/>
    <w:rsid w:val="00710C0A"/>
    <w:rsid w:val="00710EEC"/>
    <w:rsid w:val="00713A48"/>
    <w:rsid w:val="00713C2A"/>
    <w:rsid w:val="0071450D"/>
    <w:rsid w:val="00726A49"/>
    <w:rsid w:val="007556DF"/>
    <w:rsid w:val="007579C1"/>
    <w:rsid w:val="00773E88"/>
    <w:rsid w:val="00785434"/>
    <w:rsid w:val="00796CD8"/>
    <w:rsid w:val="00796D9E"/>
    <w:rsid w:val="007A0537"/>
    <w:rsid w:val="007A1927"/>
    <w:rsid w:val="007A1D24"/>
    <w:rsid w:val="007A429E"/>
    <w:rsid w:val="007C3B63"/>
    <w:rsid w:val="007C6FC5"/>
    <w:rsid w:val="007D266C"/>
    <w:rsid w:val="007D29A8"/>
    <w:rsid w:val="007D56E4"/>
    <w:rsid w:val="007E1FC6"/>
    <w:rsid w:val="007E71DC"/>
    <w:rsid w:val="007F2956"/>
    <w:rsid w:val="007F48D1"/>
    <w:rsid w:val="007F4A29"/>
    <w:rsid w:val="007F5424"/>
    <w:rsid w:val="007F6D69"/>
    <w:rsid w:val="007F6FD9"/>
    <w:rsid w:val="00807961"/>
    <w:rsid w:val="00815281"/>
    <w:rsid w:val="00823074"/>
    <w:rsid w:val="008243A7"/>
    <w:rsid w:val="00826A6B"/>
    <w:rsid w:val="0083463B"/>
    <w:rsid w:val="00845CDA"/>
    <w:rsid w:val="0086167A"/>
    <w:rsid w:val="008645DC"/>
    <w:rsid w:val="00882BBD"/>
    <w:rsid w:val="008834B4"/>
    <w:rsid w:val="008971AE"/>
    <w:rsid w:val="00897E3E"/>
    <w:rsid w:val="008A3C86"/>
    <w:rsid w:val="008C2743"/>
    <w:rsid w:val="008C6F30"/>
    <w:rsid w:val="008F0C3E"/>
    <w:rsid w:val="008F2929"/>
    <w:rsid w:val="00901A0D"/>
    <w:rsid w:val="009048E5"/>
    <w:rsid w:val="00906527"/>
    <w:rsid w:val="0091041E"/>
    <w:rsid w:val="009115D2"/>
    <w:rsid w:val="00914121"/>
    <w:rsid w:val="00916B1D"/>
    <w:rsid w:val="00923DFB"/>
    <w:rsid w:val="00934C8B"/>
    <w:rsid w:val="0094194A"/>
    <w:rsid w:val="00943B7A"/>
    <w:rsid w:val="0094500A"/>
    <w:rsid w:val="009638C5"/>
    <w:rsid w:val="00970C3A"/>
    <w:rsid w:val="00971183"/>
    <w:rsid w:val="00971692"/>
    <w:rsid w:val="00983EA0"/>
    <w:rsid w:val="009B0A5B"/>
    <w:rsid w:val="009B5803"/>
    <w:rsid w:val="009C1F59"/>
    <w:rsid w:val="009C6B3E"/>
    <w:rsid w:val="009D0F14"/>
    <w:rsid w:val="009D3D03"/>
    <w:rsid w:val="009E17DA"/>
    <w:rsid w:val="009E64CC"/>
    <w:rsid w:val="009E70A8"/>
    <w:rsid w:val="009E724A"/>
    <w:rsid w:val="009F362B"/>
    <w:rsid w:val="00A007B6"/>
    <w:rsid w:val="00A06B5C"/>
    <w:rsid w:val="00A1036A"/>
    <w:rsid w:val="00A1393A"/>
    <w:rsid w:val="00A159BD"/>
    <w:rsid w:val="00A167AB"/>
    <w:rsid w:val="00A21880"/>
    <w:rsid w:val="00A271CD"/>
    <w:rsid w:val="00A27720"/>
    <w:rsid w:val="00A31B34"/>
    <w:rsid w:val="00A35B06"/>
    <w:rsid w:val="00A35CB3"/>
    <w:rsid w:val="00A45415"/>
    <w:rsid w:val="00A53BB9"/>
    <w:rsid w:val="00A73991"/>
    <w:rsid w:val="00A768D9"/>
    <w:rsid w:val="00A901F6"/>
    <w:rsid w:val="00AA6D5B"/>
    <w:rsid w:val="00AB11F6"/>
    <w:rsid w:val="00AC1883"/>
    <w:rsid w:val="00AD2B84"/>
    <w:rsid w:val="00AE0872"/>
    <w:rsid w:val="00AF3935"/>
    <w:rsid w:val="00AF6612"/>
    <w:rsid w:val="00B04046"/>
    <w:rsid w:val="00B10217"/>
    <w:rsid w:val="00B119A1"/>
    <w:rsid w:val="00B21A44"/>
    <w:rsid w:val="00B23872"/>
    <w:rsid w:val="00B24F44"/>
    <w:rsid w:val="00B35447"/>
    <w:rsid w:val="00B40BD8"/>
    <w:rsid w:val="00B644CD"/>
    <w:rsid w:val="00B80BB9"/>
    <w:rsid w:val="00B8288A"/>
    <w:rsid w:val="00B829DF"/>
    <w:rsid w:val="00B90E75"/>
    <w:rsid w:val="00B9472A"/>
    <w:rsid w:val="00BA0205"/>
    <w:rsid w:val="00BA7E19"/>
    <w:rsid w:val="00BB0337"/>
    <w:rsid w:val="00BB4976"/>
    <w:rsid w:val="00BB7239"/>
    <w:rsid w:val="00BC1E9F"/>
    <w:rsid w:val="00BC3D3C"/>
    <w:rsid w:val="00BD1796"/>
    <w:rsid w:val="00BD564F"/>
    <w:rsid w:val="00BE590D"/>
    <w:rsid w:val="00BE67CD"/>
    <w:rsid w:val="00BF456E"/>
    <w:rsid w:val="00C12027"/>
    <w:rsid w:val="00C1211D"/>
    <w:rsid w:val="00C17C98"/>
    <w:rsid w:val="00C364EB"/>
    <w:rsid w:val="00C4259C"/>
    <w:rsid w:val="00C42A3A"/>
    <w:rsid w:val="00C43290"/>
    <w:rsid w:val="00C50B37"/>
    <w:rsid w:val="00C525A0"/>
    <w:rsid w:val="00C5369F"/>
    <w:rsid w:val="00C53C47"/>
    <w:rsid w:val="00C56BB3"/>
    <w:rsid w:val="00C63DD7"/>
    <w:rsid w:val="00C70AFA"/>
    <w:rsid w:val="00C828A0"/>
    <w:rsid w:val="00C835AC"/>
    <w:rsid w:val="00C871DB"/>
    <w:rsid w:val="00C9268B"/>
    <w:rsid w:val="00CA1D16"/>
    <w:rsid w:val="00CA3AD9"/>
    <w:rsid w:val="00CB3414"/>
    <w:rsid w:val="00CB358E"/>
    <w:rsid w:val="00CC1DF9"/>
    <w:rsid w:val="00CC337A"/>
    <w:rsid w:val="00CC3A26"/>
    <w:rsid w:val="00CC7F88"/>
    <w:rsid w:val="00CD195C"/>
    <w:rsid w:val="00CD34B8"/>
    <w:rsid w:val="00CD3B85"/>
    <w:rsid w:val="00CE1337"/>
    <w:rsid w:val="00CE6D08"/>
    <w:rsid w:val="00CE75E4"/>
    <w:rsid w:val="00D11DF6"/>
    <w:rsid w:val="00D23219"/>
    <w:rsid w:val="00D25933"/>
    <w:rsid w:val="00D3794A"/>
    <w:rsid w:val="00D42E85"/>
    <w:rsid w:val="00D4384B"/>
    <w:rsid w:val="00D575A5"/>
    <w:rsid w:val="00D57F69"/>
    <w:rsid w:val="00D62FAB"/>
    <w:rsid w:val="00D77515"/>
    <w:rsid w:val="00D77B97"/>
    <w:rsid w:val="00D836D8"/>
    <w:rsid w:val="00D93D44"/>
    <w:rsid w:val="00DA3B59"/>
    <w:rsid w:val="00DD706F"/>
    <w:rsid w:val="00DD74BA"/>
    <w:rsid w:val="00DE1337"/>
    <w:rsid w:val="00DE1FEA"/>
    <w:rsid w:val="00DF38D5"/>
    <w:rsid w:val="00DF6F4C"/>
    <w:rsid w:val="00DF732B"/>
    <w:rsid w:val="00E03835"/>
    <w:rsid w:val="00E13D1B"/>
    <w:rsid w:val="00E13E10"/>
    <w:rsid w:val="00E313A9"/>
    <w:rsid w:val="00E33A24"/>
    <w:rsid w:val="00E34C0E"/>
    <w:rsid w:val="00E35BA5"/>
    <w:rsid w:val="00E3655D"/>
    <w:rsid w:val="00E44E92"/>
    <w:rsid w:val="00E51DB9"/>
    <w:rsid w:val="00E53021"/>
    <w:rsid w:val="00E562F6"/>
    <w:rsid w:val="00E61A8D"/>
    <w:rsid w:val="00E63350"/>
    <w:rsid w:val="00E71B88"/>
    <w:rsid w:val="00E924C5"/>
    <w:rsid w:val="00E9707A"/>
    <w:rsid w:val="00EA4D78"/>
    <w:rsid w:val="00EB6F37"/>
    <w:rsid w:val="00EC7B13"/>
    <w:rsid w:val="00ED5490"/>
    <w:rsid w:val="00ED68E6"/>
    <w:rsid w:val="00EF037C"/>
    <w:rsid w:val="00EF26E1"/>
    <w:rsid w:val="00F03839"/>
    <w:rsid w:val="00F063E7"/>
    <w:rsid w:val="00F12A23"/>
    <w:rsid w:val="00F2085B"/>
    <w:rsid w:val="00F21C4B"/>
    <w:rsid w:val="00F2552D"/>
    <w:rsid w:val="00F322D5"/>
    <w:rsid w:val="00F4324D"/>
    <w:rsid w:val="00F45455"/>
    <w:rsid w:val="00F46669"/>
    <w:rsid w:val="00F51063"/>
    <w:rsid w:val="00F550C8"/>
    <w:rsid w:val="00F665D4"/>
    <w:rsid w:val="00F707F8"/>
    <w:rsid w:val="00F71A34"/>
    <w:rsid w:val="00F73916"/>
    <w:rsid w:val="00F847A4"/>
    <w:rsid w:val="00F86217"/>
    <w:rsid w:val="00F87948"/>
    <w:rsid w:val="00FA56E2"/>
    <w:rsid w:val="00FB7BBC"/>
    <w:rsid w:val="00FC659C"/>
    <w:rsid w:val="00FD1CFC"/>
    <w:rsid w:val="00FD2B02"/>
    <w:rsid w:val="00FD3F12"/>
    <w:rsid w:val="00FF4AC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8A57C8A"/>
  <w15:docId w15:val="{307A4D72-708A-40C2-BC34-6851B8875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A9"/>
    <w:rPr>
      <w:sz w:val="24"/>
      <w:szCs w:val="24"/>
    </w:rPr>
  </w:style>
  <w:style w:type="paragraph" w:styleId="Heading1">
    <w:name w:val="heading 1"/>
    <w:basedOn w:val="Normal"/>
    <w:next w:val="Normal"/>
    <w:link w:val="Heading1Char"/>
    <w:uiPriority w:val="9"/>
    <w:qFormat/>
    <w:rsid w:val="00DF38D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F38D5"/>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161C23"/>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F38D5"/>
    <w:rPr>
      <w:rFonts w:asciiTheme="majorHAnsi" w:eastAsiaTheme="majorEastAsia" w:hAnsiTheme="majorHAnsi" w:cstheme="majorBidi"/>
      <w:b/>
      <w:bCs/>
      <w:i/>
      <w:iCs/>
      <w:sz w:val="28"/>
      <w:szCs w:val="28"/>
    </w:rPr>
  </w:style>
  <w:style w:type="table" w:styleId="TableGrid">
    <w:name w:val="Table Grid"/>
    <w:basedOn w:val="TableNormal"/>
    <w:uiPriority w:val="59"/>
    <w:rsid w:val="00E34C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ListParagraph">
    <w:name w:val="List Paragraph"/>
    <w:basedOn w:val="Normal"/>
    <w:uiPriority w:val="34"/>
    <w:qFormat/>
    <w:rsid w:val="00DF38D5"/>
    <w:pPr>
      <w:ind w:left="720" w:hanging="720"/>
      <w:contextualSpacing/>
      <w:jc w:val="both"/>
    </w:pPr>
    <w:rPr>
      <w:rFonts w:ascii="Calibri" w:eastAsia="Calibri" w:hAnsi="Calibri" w:cs="Arial"/>
      <w:sz w:val="22"/>
      <w:szCs w:val="22"/>
    </w:rPr>
  </w:style>
  <w:style w:type="paragraph" w:customStyle="1" w:styleId="EndNoteBibliographyTitle">
    <w:name w:val="EndNote Bibliography Title"/>
    <w:basedOn w:val="Normal"/>
    <w:link w:val="EndNoteBibliographyTitleChar"/>
    <w:rsid w:val="000548FD"/>
    <w:pPr>
      <w:ind w:left="425" w:hanging="720"/>
      <w:jc w:val="center"/>
    </w:pPr>
    <w:rPr>
      <w:rFonts w:eastAsiaTheme="minorHAnsi"/>
      <w:noProof/>
      <w:szCs w:val="22"/>
    </w:rPr>
  </w:style>
  <w:style w:type="character" w:customStyle="1" w:styleId="EndNoteBibliographyTitleChar">
    <w:name w:val="EndNote Bibliography Title Char"/>
    <w:basedOn w:val="DefaultParagraphFont"/>
    <w:link w:val="EndNoteBibliographyTitle"/>
    <w:rsid w:val="000548FD"/>
    <w:rPr>
      <w:rFonts w:eastAsiaTheme="minorHAnsi"/>
      <w:noProof/>
      <w:sz w:val="24"/>
      <w:szCs w:val="22"/>
    </w:rPr>
  </w:style>
  <w:style w:type="paragraph" w:customStyle="1" w:styleId="EndNoteBibliography">
    <w:name w:val="EndNote Bibliography"/>
    <w:basedOn w:val="Normal"/>
    <w:link w:val="EndNoteBibliographyChar"/>
    <w:rsid w:val="000548FD"/>
    <w:pPr>
      <w:ind w:left="425" w:hanging="720"/>
      <w:jc w:val="both"/>
    </w:pPr>
    <w:rPr>
      <w:rFonts w:eastAsiaTheme="minorHAnsi"/>
      <w:noProof/>
      <w:szCs w:val="22"/>
    </w:rPr>
  </w:style>
  <w:style w:type="character" w:customStyle="1" w:styleId="EndNoteBibliographyChar">
    <w:name w:val="EndNote Bibliography Char"/>
    <w:basedOn w:val="DefaultParagraphFont"/>
    <w:link w:val="EndNoteBibliography"/>
    <w:rsid w:val="000548FD"/>
    <w:rPr>
      <w:rFonts w:eastAsiaTheme="minorHAnsi"/>
      <w:noProof/>
      <w:sz w:val="24"/>
      <w:szCs w:val="22"/>
    </w:rPr>
  </w:style>
  <w:style w:type="character" w:styleId="PlaceholderText">
    <w:name w:val="Placeholder Text"/>
    <w:basedOn w:val="DefaultParagraphFont"/>
    <w:uiPriority w:val="99"/>
    <w:unhideWhenUsed/>
    <w:rsid w:val="00306300"/>
    <w:rPr>
      <w:color w:val="808080"/>
    </w:rPr>
  </w:style>
  <w:style w:type="character" w:customStyle="1" w:styleId="fn">
    <w:name w:val="fn"/>
    <w:basedOn w:val="DefaultParagraphFont"/>
    <w:rsid w:val="006D7141"/>
  </w:style>
  <w:style w:type="paragraph" w:customStyle="1" w:styleId="Persamaan">
    <w:name w:val="Persamaan"/>
    <w:basedOn w:val="BodyText2"/>
    <w:rsid w:val="00E313A9"/>
    <w:pPr>
      <w:tabs>
        <w:tab w:val="right" w:pos="7370"/>
      </w:tabs>
      <w:overflowPunct w:val="0"/>
      <w:autoSpaceDE w:val="0"/>
      <w:autoSpaceDN w:val="0"/>
      <w:adjustRightInd w:val="0"/>
      <w:spacing w:after="0" w:line="240" w:lineRule="auto"/>
      <w:ind w:firstLine="284"/>
      <w:textAlignment w:val="baseline"/>
    </w:pPr>
    <w:rPr>
      <w:rFonts w:eastAsia="Times New Roman"/>
      <w:sz w:val="20"/>
      <w:szCs w:val="20"/>
      <w:lang w:eastAsia="zh-CN"/>
    </w:rPr>
  </w:style>
  <w:style w:type="paragraph" w:customStyle="1" w:styleId="Bulleteda">
    <w:name w:val="Bulleted (a)"/>
    <w:basedOn w:val="Normal"/>
    <w:rsid w:val="00E313A9"/>
    <w:pPr>
      <w:numPr>
        <w:numId w:val="4"/>
      </w:numPr>
      <w:tabs>
        <w:tab w:val="clear" w:pos="360"/>
        <w:tab w:val="left" w:pos="284"/>
      </w:tabs>
      <w:ind w:left="284" w:hanging="284"/>
      <w:jc w:val="both"/>
    </w:pPr>
    <w:rPr>
      <w:rFonts w:eastAsia="Times New Roman"/>
      <w:sz w:val="20"/>
      <w:szCs w:val="20"/>
      <w:lang w:val="id-ID" w:eastAsia="zh-CN"/>
    </w:rPr>
  </w:style>
  <w:style w:type="paragraph" w:styleId="BodyText2">
    <w:name w:val="Body Text 2"/>
    <w:basedOn w:val="Normal"/>
    <w:link w:val="BodyText2Char"/>
    <w:uiPriority w:val="99"/>
    <w:semiHidden/>
    <w:unhideWhenUsed/>
    <w:rsid w:val="00E313A9"/>
    <w:pPr>
      <w:spacing w:after="120" w:line="480" w:lineRule="auto"/>
    </w:pPr>
  </w:style>
  <w:style w:type="character" w:customStyle="1" w:styleId="BodyText2Char">
    <w:name w:val="Body Text 2 Char"/>
    <w:basedOn w:val="DefaultParagraphFont"/>
    <w:link w:val="BodyText2"/>
    <w:uiPriority w:val="99"/>
    <w:semiHidden/>
    <w:rsid w:val="00E313A9"/>
    <w:rPr>
      <w:sz w:val="24"/>
      <w:szCs w:val="24"/>
    </w:rPr>
  </w:style>
  <w:style w:type="paragraph" w:customStyle="1" w:styleId="Captiongambar">
    <w:name w:val="Caption gambar"/>
    <w:basedOn w:val="Caption"/>
    <w:rsid w:val="00E313A9"/>
    <w:pPr>
      <w:overflowPunct w:val="0"/>
      <w:autoSpaceDE w:val="0"/>
      <w:autoSpaceDN w:val="0"/>
      <w:adjustRightInd w:val="0"/>
      <w:spacing w:after="0"/>
      <w:jc w:val="center"/>
      <w:textAlignment w:val="baseline"/>
    </w:pPr>
    <w:rPr>
      <w:rFonts w:eastAsia="Times New Roman"/>
      <w:i w:val="0"/>
      <w:iCs w:val="0"/>
      <w:color w:val="auto"/>
      <w:sz w:val="20"/>
      <w:szCs w:val="20"/>
      <w:lang w:val="en-GB" w:eastAsia="zh-CN"/>
    </w:rPr>
  </w:style>
  <w:style w:type="paragraph" w:customStyle="1" w:styleId="JudulGambar">
    <w:name w:val="Judul_Gambar"/>
    <w:basedOn w:val="Caption"/>
    <w:rsid w:val="00E313A9"/>
    <w:pPr>
      <w:overflowPunct w:val="0"/>
      <w:autoSpaceDE w:val="0"/>
      <w:autoSpaceDN w:val="0"/>
      <w:adjustRightInd w:val="0"/>
      <w:spacing w:before="120" w:after="120"/>
      <w:jc w:val="center"/>
      <w:textAlignment w:val="baseline"/>
    </w:pPr>
    <w:rPr>
      <w:rFonts w:eastAsia="Times New Roman"/>
      <w:bCs/>
      <w:i w:val="0"/>
      <w:iCs w:val="0"/>
      <w:color w:val="auto"/>
      <w:sz w:val="20"/>
      <w:szCs w:val="20"/>
      <w:lang w:val="en-GB" w:eastAsia="zh-CN"/>
    </w:rPr>
  </w:style>
  <w:style w:type="paragraph" w:customStyle="1" w:styleId="JudulTabel">
    <w:name w:val="Judul_Tabel"/>
    <w:basedOn w:val="Caption"/>
    <w:rsid w:val="00E313A9"/>
    <w:pPr>
      <w:overflowPunct w:val="0"/>
      <w:autoSpaceDE w:val="0"/>
      <w:autoSpaceDN w:val="0"/>
      <w:adjustRightInd w:val="0"/>
      <w:spacing w:before="120" w:after="120"/>
      <w:jc w:val="both"/>
      <w:textAlignment w:val="baseline"/>
    </w:pPr>
    <w:rPr>
      <w:rFonts w:eastAsia="Times New Roman"/>
      <w:bCs/>
      <w:i w:val="0"/>
      <w:iCs w:val="0"/>
      <w:color w:val="auto"/>
      <w:sz w:val="20"/>
      <w:szCs w:val="20"/>
      <w:lang w:val="en-GB" w:eastAsia="zh-CN"/>
    </w:rPr>
  </w:style>
  <w:style w:type="paragraph" w:styleId="Caption">
    <w:name w:val="caption"/>
    <w:basedOn w:val="Normal"/>
    <w:next w:val="Normal"/>
    <w:uiPriority w:val="35"/>
    <w:unhideWhenUsed/>
    <w:qFormat/>
    <w:rsid w:val="00E313A9"/>
    <w:pPr>
      <w:spacing w:after="200"/>
    </w:pPr>
    <w:rPr>
      <w:i/>
      <w:iCs/>
      <w:color w:val="1F497D" w:themeColor="text2"/>
      <w:sz w:val="18"/>
      <w:szCs w:val="18"/>
    </w:rPr>
  </w:style>
  <w:style w:type="paragraph" w:customStyle="1" w:styleId="PustakaIsi">
    <w:name w:val="Pustaka Isi"/>
    <w:basedOn w:val="Normal"/>
    <w:rsid w:val="008971AE"/>
    <w:pPr>
      <w:overflowPunct w:val="0"/>
      <w:autoSpaceDE w:val="0"/>
      <w:autoSpaceDN w:val="0"/>
      <w:adjustRightInd w:val="0"/>
      <w:ind w:left="284" w:hanging="284"/>
      <w:jc w:val="both"/>
      <w:textAlignment w:val="baseline"/>
    </w:pPr>
    <w:rPr>
      <w:rFonts w:eastAsia="Times New Roman"/>
      <w:sz w:val="20"/>
      <w:szCs w:val="20"/>
      <w:lang w:val="id-ID" w:eastAsia="zh-CN"/>
    </w:rPr>
  </w:style>
  <w:style w:type="paragraph" w:customStyle="1" w:styleId="Pustakajudul">
    <w:name w:val="Pustaka judul"/>
    <w:basedOn w:val="Normal"/>
    <w:rsid w:val="008971AE"/>
    <w:pPr>
      <w:tabs>
        <w:tab w:val="num" w:pos="1080"/>
      </w:tabs>
      <w:overflowPunct w:val="0"/>
      <w:autoSpaceDE w:val="0"/>
      <w:autoSpaceDN w:val="0"/>
      <w:adjustRightInd w:val="0"/>
      <w:jc w:val="both"/>
      <w:textAlignment w:val="baseline"/>
    </w:pPr>
    <w:rPr>
      <w:rFonts w:eastAsia="Times New Roman"/>
      <w:b/>
      <w:caps/>
      <w:sz w:val="20"/>
      <w:szCs w:val="20"/>
      <w:lang w:val="nb-NO" w:eastAsia="zh-CN"/>
    </w:rPr>
  </w:style>
  <w:style w:type="character" w:customStyle="1" w:styleId="Heading3Char">
    <w:name w:val="Heading 3 Char"/>
    <w:basedOn w:val="DefaultParagraphFont"/>
    <w:link w:val="Heading3"/>
    <w:uiPriority w:val="9"/>
    <w:rsid w:val="00161C23"/>
    <w:rPr>
      <w:rFonts w:asciiTheme="majorHAnsi" w:eastAsiaTheme="majorEastAsia" w:hAnsiTheme="majorHAnsi" w:cstheme="majorBidi"/>
      <w:color w:val="243F60" w:themeColor="accent1" w:themeShade="7F"/>
      <w:sz w:val="24"/>
      <w:szCs w:val="24"/>
    </w:rPr>
  </w:style>
  <w:style w:type="paragraph" w:styleId="NoSpacing">
    <w:name w:val="No Spacing"/>
    <w:link w:val="NoSpacingChar"/>
    <w:uiPriority w:val="1"/>
    <w:qFormat/>
    <w:rsid w:val="009638C5"/>
    <w:rPr>
      <w:rFonts w:eastAsia="Times New Roman"/>
      <w:sz w:val="22"/>
      <w:szCs w:val="22"/>
    </w:rPr>
  </w:style>
  <w:style w:type="character" w:customStyle="1" w:styleId="NoSpacingChar">
    <w:name w:val="No Spacing Char"/>
    <w:link w:val="NoSpacing"/>
    <w:uiPriority w:val="1"/>
    <w:rsid w:val="009638C5"/>
    <w:rPr>
      <w:rFonts w:eastAsia="Times New Roman"/>
      <w:sz w:val="22"/>
      <w:szCs w:val="22"/>
    </w:rPr>
  </w:style>
  <w:style w:type="table" w:styleId="PlainTable4">
    <w:name w:val="Plain Table 4"/>
    <w:basedOn w:val="TableNormal"/>
    <w:uiPriority w:val="44"/>
    <w:rsid w:val="009638C5"/>
    <w:rPr>
      <w:rFonts w:eastAsia="Calibri"/>
      <w:sz w:val="24"/>
      <w:szCs w:val="22"/>
      <w:lang w:val="id-ID"/>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uiPriority w:val="99"/>
    <w:semiHidden/>
    <w:unhideWhenUsed/>
    <w:rsid w:val="00B10217"/>
    <w:rPr>
      <w:color w:val="800080" w:themeColor="followedHyperlink"/>
      <w:u w:val="single"/>
    </w:rPr>
  </w:style>
  <w:style w:type="paragraph" w:styleId="Bibliography">
    <w:name w:val="Bibliography"/>
    <w:basedOn w:val="Normal"/>
    <w:next w:val="Normal"/>
    <w:uiPriority w:val="70"/>
    <w:rsid w:val="00AE08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4856">
      <w:bodyDiv w:val="1"/>
      <w:marLeft w:val="0"/>
      <w:marRight w:val="0"/>
      <w:marTop w:val="0"/>
      <w:marBottom w:val="0"/>
      <w:divBdr>
        <w:top w:val="none" w:sz="0" w:space="0" w:color="auto"/>
        <w:left w:val="none" w:sz="0" w:space="0" w:color="auto"/>
        <w:bottom w:val="none" w:sz="0" w:space="0" w:color="auto"/>
        <w:right w:val="none" w:sz="0" w:space="0" w:color="auto"/>
      </w:divBdr>
    </w:div>
    <w:div w:id="128398966">
      <w:bodyDiv w:val="1"/>
      <w:marLeft w:val="0"/>
      <w:marRight w:val="0"/>
      <w:marTop w:val="0"/>
      <w:marBottom w:val="0"/>
      <w:divBdr>
        <w:top w:val="none" w:sz="0" w:space="0" w:color="auto"/>
        <w:left w:val="none" w:sz="0" w:space="0" w:color="auto"/>
        <w:bottom w:val="none" w:sz="0" w:space="0" w:color="auto"/>
        <w:right w:val="none" w:sz="0" w:space="0" w:color="auto"/>
      </w:divBdr>
    </w:div>
    <w:div w:id="132912895">
      <w:bodyDiv w:val="1"/>
      <w:marLeft w:val="0"/>
      <w:marRight w:val="0"/>
      <w:marTop w:val="0"/>
      <w:marBottom w:val="0"/>
      <w:divBdr>
        <w:top w:val="none" w:sz="0" w:space="0" w:color="auto"/>
        <w:left w:val="none" w:sz="0" w:space="0" w:color="auto"/>
        <w:bottom w:val="none" w:sz="0" w:space="0" w:color="auto"/>
        <w:right w:val="none" w:sz="0" w:space="0" w:color="auto"/>
      </w:divBdr>
    </w:div>
    <w:div w:id="220023212">
      <w:bodyDiv w:val="1"/>
      <w:marLeft w:val="0"/>
      <w:marRight w:val="0"/>
      <w:marTop w:val="0"/>
      <w:marBottom w:val="0"/>
      <w:divBdr>
        <w:top w:val="none" w:sz="0" w:space="0" w:color="auto"/>
        <w:left w:val="none" w:sz="0" w:space="0" w:color="auto"/>
        <w:bottom w:val="none" w:sz="0" w:space="0" w:color="auto"/>
        <w:right w:val="none" w:sz="0" w:space="0" w:color="auto"/>
      </w:divBdr>
    </w:div>
    <w:div w:id="298148482">
      <w:bodyDiv w:val="1"/>
      <w:marLeft w:val="0"/>
      <w:marRight w:val="0"/>
      <w:marTop w:val="0"/>
      <w:marBottom w:val="0"/>
      <w:divBdr>
        <w:top w:val="none" w:sz="0" w:space="0" w:color="auto"/>
        <w:left w:val="none" w:sz="0" w:space="0" w:color="auto"/>
        <w:bottom w:val="none" w:sz="0" w:space="0" w:color="auto"/>
        <w:right w:val="none" w:sz="0" w:space="0" w:color="auto"/>
      </w:divBdr>
    </w:div>
    <w:div w:id="411245264">
      <w:bodyDiv w:val="1"/>
      <w:marLeft w:val="0"/>
      <w:marRight w:val="0"/>
      <w:marTop w:val="0"/>
      <w:marBottom w:val="0"/>
      <w:divBdr>
        <w:top w:val="none" w:sz="0" w:space="0" w:color="auto"/>
        <w:left w:val="none" w:sz="0" w:space="0" w:color="auto"/>
        <w:bottom w:val="none" w:sz="0" w:space="0" w:color="auto"/>
        <w:right w:val="none" w:sz="0" w:space="0" w:color="auto"/>
      </w:divBdr>
    </w:div>
    <w:div w:id="530730079">
      <w:bodyDiv w:val="1"/>
      <w:marLeft w:val="0"/>
      <w:marRight w:val="0"/>
      <w:marTop w:val="0"/>
      <w:marBottom w:val="0"/>
      <w:divBdr>
        <w:top w:val="none" w:sz="0" w:space="0" w:color="auto"/>
        <w:left w:val="none" w:sz="0" w:space="0" w:color="auto"/>
        <w:bottom w:val="none" w:sz="0" w:space="0" w:color="auto"/>
        <w:right w:val="none" w:sz="0" w:space="0" w:color="auto"/>
      </w:divBdr>
    </w:div>
    <w:div w:id="533465325">
      <w:bodyDiv w:val="1"/>
      <w:marLeft w:val="0"/>
      <w:marRight w:val="0"/>
      <w:marTop w:val="0"/>
      <w:marBottom w:val="0"/>
      <w:divBdr>
        <w:top w:val="none" w:sz="0" w:space="0" w:color="auto"/>
        <w:left w:val="none" w:sz="0" w:space="0" w:color="auto"/>
        <w:bottom w:val="none" w:sz="0" w:space="0" w:color="auto"/>
        <w:right w:val="none" w:sz="0" w:space="0" w:color="auto"/>
      </w:divBdr>
    </w:div>
    <w:div w:id="543903593">
      <w:bodyDiv w:val="1"/>
      <w:marLeft w:val="0"/>
      <w:marRight w:val="0"/>
      <w:marTop w:val="0"/>
      <w:marBottom w:val="0"/>
      <w:divBdr>
        <w:top w:val="none" w:sz="0" w:space="0" w:color="auto"/>
        <w:left w:val="none" w:sz="0" w:space="0" w:color="auto"/>
        <w:bottom w:val="none" w:sz="0" w:space="0" w:color="auto"/>
        <w:right w:val="none" w:sz="0" w:space="0" w:color="auto"/>
      </w:divBdr>
    </w:div>
    <w:div w:id="603417146">
      <w:bodyDiv w:val="1"/>
      <w:marLeft w:val="0"/>
      <w:marRight w:val="0"/>
      <w:marTop w:val="0"/>
      <w:marBottom w:val="0"/>
      <w:divBdr>
        <w:top w:val="none" w:sz="0" w:space="0" w:color="auto"/>
        <w:left w:val="none" w:sz="0" w:space="0" w:color="auto"/>
        <w:bottom w:val="none" w:sz="0" w:space="0" w:color="auto"/>
        <w:right w:val="none" w:sz="0" w:space="0" w:color="auto"/>
      </w:divBdr>
    </w:div>
    <w:div w:id="619216606">
      <w:bodyDiv w:val="1"/>
      <w:marLeft w:val="0"/>
      <w:marRight w:val="0"/>
      <w:marTop w:val="0"/>
      <w:marBottom w:val="0"/>
      <w:divBdr>
        <w:top w:val="none" w:sz="0" w:space="0" w:color="auto"/>
        <w:left w:val="none" w:sz="0" w:space="0" w:color="auto"/>
        <w:bottom w:val="none" w:sz="0" w:space="0" w:color="auto"/>
        <w:right w:val="none" w:sz="0" w:space="0" w:color="auto"/>
      </w:divBdr>
    </w:div>
    <w:div w:id="949513027">
      <w:bodyDiv w:val="1"/>
      <w:marLeft w:val="0"/>
      <w:marRight w:val="0"/>
      <w:marTop w:val="0"/>
      <w:marBottom w:val="0"/>
      <w:divBdr>
        <w:top w:val="none" w:sz="0" w:space="0" w:color="auto"/>
        <w:left w:val="none" w:sz="0" w:space="0" w:color="auto"/>
        <w:bottom w:val="none" w:sz="0" w:space="0" w:color="auto"/>
        <w:right w:val="none" w:sz="0" w:space="0" w:color="auto"/>
      </w:divBdr>
    </w:div>
    <w:div w:id="964389382">
      <w:bodyDiv w:val="1"/>
      <w:marLeft w:val="0"/>
      <w:marRight w:val="0"/>
      <w:marTop w:val="0"/>
      <w:marBottom w:val="0"/>
      <w:divBdr>
        <w:top w:val="none" w:sz="0" w:space="0" w:color="auto"/>
        <w:left w:val="none" w:sz="0" w:space="0" w:color="auto"/>
        <w:bottom w:val="none" w:sz="0" w:space="0" w:color="auto"/>
        <w:right w:val="none" w:sz="0" w:space="0" w:color="auto"/>
      </w:divBdr>
    </w:div>
    <w:div w:id="999188395">
      <w:bodyDiv w:val="1"/>
      <w:marLeft w:val="0"/>
      <w:marRight w:val="0"/>
      <w:marTop w:val="0"/>
      <w:marBottom w:val="0"/>
      <w:divBdr>
        <w:top w:val="none" w:sz="0" w:space="0" w:color="auto"/>
        <w:left w:val="none" w:sz="0" w:space="0" w:color="auto"/>
        <w:bottom w:val="none" w:sz="0" w:space="0" w:color="auto"/>
        <w:right w:val="none" w:sz="0" w:space="0" w:color="auto"/>
      </w:divBdr>
    </w:div>
    <w:div w:id="1009721745">
      <w:bodyDiv w:val="1"/>
      <w:marLeft w:val="0"/>
      <w:marRight w:val="0"/>
      <w:marTop w:val="0"/>
      <w:marBottom w:val="0"/>
      <w:divBdr>
        <w:top w:val="none" w:sz="0" w:space="0" w:color="auto"/>
        <w:left w:val="none" w:sz="0" w:space="0" w:color="auto"/>
        <w:bottom w:val="none" w:sz="0" w:space="0" w:color="auto"/>
        <w:right w:val="none" w:sz="0" w:space="0" w:color="auto"/>
      </w:divBdr>
    </w:div>
    <w:div w:id="1106466941">
      <w:bodyDiv w:val="1"/>
      <w:marLeft w:val="0"/>
      <w:marRight w:val="0"/>
      <w:marTop w:val="0"/>
      <w:marBottom w:val="0"/>
      <w:divBdr>
        <w:top w:val="none" w:sz="0" w:space="0" w:color="auto"/>
        <w:left w:val="none" w:sz="0" w:space="0" w:color="auto"/>
        <w:bottom w:val="none" w:sz="0" w:space="0" w:color="auto"/>
        <w:right w:val="none" w:sz="0" w:space="0" w:color="auto"/>
      </w:divBdr>
    </w:div>
    <w:div w:id="1249001796">
      <w:bodyDiv w:val="1"/>
      <w:marLeft w:val="0"/>
      <w:marRight w:val="0"/>
      <w:marTop w:val="0"/>
      <w:marBottom w:val="0"/>
      <w:divBdr>
        <w:top w:val="none" w:sz="0" w:space="0" w:color="auto"/>
        <w:left w:val="none" w:sz="0" w:space="0" w:color="auto"/>
        <w:bottom w:val="none" w:sz="0" w:space="0" w:color="auto"/>
        <w:right w:val="none" w:sz="0" w:space="0" w:color="auto"/>
      </w:divBdr>
    </w:div>
    <w:div w:id="1299606471">
      <w:bodyDiv w:val="1"/>
      <w:marLeft w:val="0"/>
      <w:marRight w:val="0"/>
      <w:marTop w:val="0"/>
      <w:marBottom w:val="0"/>
      <w:divBdr>
        <w:top w:val="none" w:sz="0" w:space="0" w:color="auto"/>
        <w:left w:val="none" w:sz="0" w:space="0" w:color="auto"/>
        <w:bottom w:val="none" w:sz="0" w:space="0" w:color="auto"/>
        <w:right w:val="none" w:sz="0" w:space="0" w:color="auto"/>
      </w:divBdr>
    </w:div>
    <w:div w:id="1343897268">
      <w:bodyDiv w:val="1"/>
      <w:marLeft w:val="0"/>
      <w:marRight w:val="0"/>
      <w:marTop w:val="0"/>
      <w:marBottom w:val="0"/>
      <w:divBdr>
        <w:top w:val="none" w:sz="0" w:space="0" w:color="auto"/>
        <w:left w:val="none" w:sz="0" w:space="0" w:color="auto"/>
        <w:bottom w:val="none" w:sz="0" w:space="0" w:color="auto"/>
        <w:right w:val="none" w:sz="0" w:space="0" w:color="auto"/>
      </w:divBdr>
    </w:div>
    <w:div w:id="1438601105">
      <w:bodyDiv w:val="1"/>
      <w:marLeft w:val="0"/>
      <w:marRight w:val="0"/>
      <w:marTop w:val="0"/>
      <w:marBottom w:val="0"/>
      <w:divBdr>
        <w:top w:val="none" w:sz="0" w:space="0" w:color="auto"/>
        <w:left w:val="none" w:sz="0" w:space="0" w:color="auto"/>
        <w:bottom w:val="none" w:sz="0" w:space="0" w:color="auto"/>
        <w:right w:val="none" w:sz="0" w:space="0" w:color="auto"/>
      </w:divBdr>
    </w:div>
    <w:div w:id="1463889377">
      <w:bodyDiv w:val="1"/>
      <w:marLeft w:val="0"/>
      <w:marRight w:val="0"/>
      <w:marTop w:val="0"/>
      <w:marBottom w:val="0"/>
      <w:divBdr>
        <w:top w:val="none" w:sz="0" w:space="0" w:color="auto"/>
        <w:left w:val="none" w:sz="0" w:space="0" w:color="auto"/>
        <w:bottom w:val="none" w:sz="0" w:space="0" w:color="auto"/>
        <w:right w:val="none" w:sz="0" w:space="0" w:color="auto"/>
      </w:divBdr>
    </w:div>
    <w:div w:id="1490944691">
      <w:bodyDiv w:val="1"/>
      <w:marLeft w:val="0"/>
      <w:marRight w:val="0"/>
      <w:marTop w:val="0"/>
      <w:marBottom w:val="0"/>
      <w:divBdr>
        <w:top w:val="none" w:sz="0" w:space="0" w:color="auto"/>
        <w:left w:val="none" w:sz="0" w:space="0" w:color="auto"/>
        <w:bottom w:val="none" w:sz="0" w:space="0" w:color="auto"/>
        <w:right w:val="none" w:sz="0" w:space="0" w:color="auto"/>
      </w:divBdr>
    </w:div>
    <w:div w:id="1513377279">
      <w:bodyDiv w:val="1"/>
      <w:marLeft w:val="0"/>
      <w:marRight w:val="0"/>
      <w:marTop w:val="0"/>
      <w:marBottom w:val="0"/>
      <w:divBdr>
        <w:top w:val="none" w:sz="0" w:space="0" w:color="auto"/>
        <w:left w:val="none" w:sz="0" w:space="0" w:color="auto"/>
        <w:bottom w:val="none" w:sz="0" w:space="0" w:color="auto"/>
        <w:right w:val="none" w:sz="0" w:space="0" w:color="auto"/>
      </w:divBdr>
    </w:div>
    <w:div w:id="1654799124">
      <w:bodyDiv w:val="1"/>
      <w:marLeft w:val="0"/>
      <w:marRight w:val="0"/>
      <w:marTop w:val="0"/>
      <w:marBottom w:val="0"/>
      <w:divBdr>
        <w:top w:val="none" w:sz="0" w:space="0" w:color="auto"/>
        <w:left w:val="none" w:sz="0" w:space="0" w:color="auto"/>
        <w:bottom w:val="none" w:sz="0" w:space="0" w:color="auto"/>
        <w:right w:val="none" w:sz="0" w:space="0" w:color="auto"/>
      </w:divBdr>
    </w:div>
    <w:div w:id="1794640245">
      <w:bodyDiv w:val="1"/>
      <w:marLeft w:val="0"/>
      <w:marRight w:val="0"/>
      <w:marTop w:val="0"/>
      <w:marBottom w:val="0"/>
      <w:divBdr>
        <w:top w:val="none" w:sz="0" w:space="0" w:color="auto"/>
        <w:left w:val="none" w:sz="0" w:space="0" w:color="auto"/>
        <w:bottom w:val="none" w:sz="0" w:space="0" w:color="auto"/>
        <w:right w:val="none" w:sz="0" w:space="0" w:color="auto"/>
      </w:divBdr>
    </w:div>
    <w:div w:id="1834105651">
      <w:bodyDiv w:val="1"/>
      <w:marLeft w:val="0"/>
      <w:marRight w:val="0"/>
      <w:marTop w:val="0"/>
      <w:marBottom w:val="0"/>
      <w:divBdr>
        <w:top w:val="none" w:sz="0" w:space="0" w:color="auto"/>
        <w:left w:val="none" w:sz="0" w:space="0" w:color="auto"/>
        <w:bottom w:val="none" w:sz="0" w:space="0" w:color="auto"/>
        <w:right w:val="none" w:sz="0" w:space="0" w:color="auto"/>
      </w:divBdr>
    </w:div>
    <w:div w:id="1881938855">
      <w:bodyDiv w:val="1"/>
      <w:marLeft w:val="0"/>
      <w:marRight w:val="0"/>
      <w:marTop w:val="0"/>
      <w:marBottom w:val="0"/>
      <w:divBdr>
        <w:top w:val="none" w:sz="0" w:space="0" w:color="auto"/>
        <w:left w:val="none" w:sz="0" w:space="0" w:color="auto"/>
        <w:bottom w:val="none" w:sz="0" w:space="0" w:color="auto"/>
        <w:right w:val="none" w:sz="0" w:space="0" w:color="auto"/>
      </w:divBdr>
    </w:div>
    <w:div w:id="1900896879">
      <w:bodyDiv w:val="1"/>
      <w:marLeft w:val="0"/>
      <w:marRight w:val="0"/>
      <w:marTop w:val="0"/>
      <w:marBottom w:val="0"/>
      <w:divBdr>
        <w:top w:val="none" w:sz="0" w:space="0" w:color="auto"/>
        <w:left w:val="none" w:sz="0" w:space="0" w:color="auto"/>
        <w:bottom w:val="none" w:sz="0" w:space="0" w:color="auto"/>
        <w:right w:val="none" w:sz="0" w:space="0" w:color="auto"/>
      </w:divBdr>
    </w:div>
    <w:div w:id="1924098686">
      <w:bodyDiv w:val="1"/>
      <w:marLeft w:val="0"/>
      <w:marRight w:val="0"/>
      <w:marTop w:val="0"/>
      <w:marBottom w:val="0"/>
      <w:divBdr>
        <w:top w:val="none" w:sz="0" w:space="0" w:color="auto"/>
        <w:left w:val="none" w:sz="0" w:space="0" w:color="auto"/>
        <w:bottom w:val="none" w:sz="0" w:space="0" w:color="auto"/>
        <w:right w:val="none" w:sz="0" w:space="0" w:color="auto"/>
      </w:divBdr>
    </w:div>
    <w:div w:id="1932158657">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249758">
      <w:bodyDiv w:val="1"/>
      <w:marLeft w:val="0"/>
      <w:marRight w:val="0"/>
      <w:marTop w:val="0"/>
      <w:marBottom w:val="0"/>
      <w:divBdr>
        <w:top w:val="none" w:sz="0" w:space="0" w:color="auto"/>
        <w:left w:val="none" w:sz="0" w:space="0" w:color="auto"/>
        <w:bottom w:val="none" w:sz="0" w:space="0" w:color="auto"/>
        <w:right w:val="none" w:sz="0" w:space="0" w:color="auto"/>
      </w:divBdr>
    </w:div>
    <w:div w:id="2020959023">
      <w:bodyDiv w:val="1"/>
      <w:marLeft w:val="0"/>
      <w:marRight w:val="0"/>
      <w:marTop w:val="0"/>
      <w:marBottom w:val="0"/>
      <w:divBdr>
        <w:top w:val="none" w:sz="0" w:space="0" w:color="auto"/>
        <w:left w:val="none" w:sz="0" w:space="0" w:color="auto"/>
        <w:bottom w:val="none" w:sz="0" w:space="0" w:color="auto"/>
        <w:right w:val="none" w:sz="0" w:space="0" w:color="auto"/>
      </w:divBdr>
    </w:div>
    <w:div w:id="2044359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Mar77</b:Tag>
    <b:SourceType>JournalArticle</b:SourceType>
    <b:Guid>{0E15CB5F-C17C-44C2-BF19-7F9710D7FD8F}</b:Guid>
    <b:Title>Importance-performance analysis</b:Title>
    <b:JournalName>Journal of Marketing</b:JournalName>
    <b:Year>1977</b:Year>
    <b:Pages>77-79</b:Pages>
    <b:Author>
      <b:Author>
        <b:NameList>
          <b:Person>
            <b:Last>Martilla </b:Last>
            <b:Middle>A</b:Middle>
            <b:First>John </b:First>
          </b:Person>
          <b:Person>
            <b:Last>James</b:Last>
            <b:Middle>C</b:Middle>
            <b:First>John</b:First>
          </b:Person>
        </b:NameList>
      </b:Author>
    </b:Author>
    <b:RefOrder>1</b:RefOrder>
  </b:Source>
  <b:Source>
    <b:Tag>Par88</b:Tag>
    <b:SourceType>JournalArticle</b:SourceType>
    <b:Guid>{B6891BD2-6446-42AB-A735-DFF8960E74E4}</b:Guid>
    <b:Title>SERVQUAL: A Multiple-Item Scale for Measuring Consumer Perception of Service Quality</b:Title>
    <b:JournalName>Journal of Retailing</b:JournalName>
    <b:Year>1988</b:Year>
    <b:Pages>12-40</b:Pages>
    <b:Author>
      <b:Author>
        <b:NameList>
          <b:Person>
            <b:Last>Parasuman</b:Last>
            <b:First>A</b:First>
          </b:Person>
          <b:Person>
            <b:Last>Zeithaml</b:Last>
            <b:Middle>A</b:Middle>
            <b:First>Valerie</b:First>
          </b:Person>
          <b:Person>
            <b:Last>Berry</b:Last>
            <b:Middle>L</b:Middle>
            <b:First>Leonard</b:First>
          </b:Person>
        </b:NameList>
      </b:Author>
    </b:Author>
    <b:RefOrder>3</b:RefOrder>
  </b:Source>
  <b:Source>
    <b:Tag>Tam14</b:Tag>
    <b:SourceType>JournalArticle</b:SourceType>
    <b:Guid>{ADBD14E8-6647-44EB-890C-1F3D417D3F56}</b:Guid>
    <b:Title>Utilisation Rate of Free Trade Agreements (FTAs) by Local Micro-, Small- and</b:Title>
    <b:Year>2014</b:Year>
    <b:JournalName>Journal of International Business and Economics</b:JournalName>
    <b:Pages>133-163</b:Pages>
    <b:Author>
      <b:Author>
        <b:NameList>
          <b:Person>
            <b:Last>Tambunan</b:Last>
            <b:First>Tulus</b:First>
          </b:Person>
          <b:Person>
            <b:Last>Chandra</b:Last>
            <b:Middle>C</b:Middle>
            <b:First>Alexander</b:First>
          </b:Person>
        </b:NameList>
      </b:Author>
    </b:Author>
    <b:RefOrder>5</b:RefOrder>
  </b:Source>
  <b:Source>
    <b:Tag>Tji07</b:Tag>
    <b:SourceType>Book</b:SourceType>
    <b:Guid>{80427EF8-81EF-4990-8382-92471187638D}</b:Guid>
    <b:Title>Service, Quality, dan Satisfaction Edisi 5</b:Title>
    <b:Year>2019</b:Year>
    <b:Author>
      <b:Author>
        <b:NameList>
          <b:Person>
            <b:Last>Tjiptono</b:Last>
            <b:First>Fandy</b:First>
          </b:Person>
          <b:Person>
            <b:Last>Chandra Gregorius</b:Last>
          </b:Person>
        </b:NameList>
      </b:Author>
    </b:Author>
    <b:City>Yogyakarta</b:City>
    <b:Publisher>Andi Offset</b:Publisher>
    <b:RefOrder>6</b:RefOrder>
  </b:Source>
  <b:Source>
    <b:Tag>Cre09</b:Tag>
    <b:SourceType>Book</b:SourceType>
    <b:Guid>{60747260-3E73-4FFA-B4B8-921112413F59}</b:Guid>
    <b:Title>Research design : qualitative, quantitative, and mixed methods approaches / John W. Creswell. — 4th ed.</b:Title>
    <b:Year>2014</b:Year>
    <b:City>Los Angeles</b:City>
    <b:Publisher>Sage</b:Publisher>
    <b:Author>
      <b:Author>
        <b:NameList>
          <b:Person>
            <b:Last>Cresswell</b:Last>
            <b:Middle>W</b:Middle>
            <b:First>John</b:First>
          </b:Person>
        </b:NameList>
      </b:Author>
    </b:Author>
    <b:RefOrder>4</b:RefOrder>
  </b:Source>
  <b:Source>
    <b:Tag>Kot03</b:Tag>
    <b:SourceType>Book</b:SourceType>
    <b:Guid>{3AD68066-E2AC-4929-8663-BBEA0815C5D4}</b:Guid>
    <b:Title>Marketing Management 15th Edition</b:Title>
    <b:Year>2016</b:Year>
    <b:City>Harlow </b:City>
    <b:Publisher>Essex Pearson Education Limited </b:Publisher>
    <b:Author>
      <b:Author>
        <b:NameList>
          <b:Person>
            <b:Last>Kotler</b:Last>
            <b:First>Philip</b:First>
          </b:Person>
        </b:NameList>
      </b:Author>
    </b:Author>
    <b:RefOrder>2</b:RefOrder>
  </b:Source>
  <b:Source>
    <b:Tag>Ver18</b:Tag>
    <b:SourceType>ArticleInAPeriodical</b:SourceType>
    <b:Guid>{42FB0C63-FCE3-4E9C-8AA4-6F287E4F7DD3}</b:Guid>
    <b:Title>Let’s talk about the Free Trade Agreement (FTA): The five ASEAN members highlighting Indonesia</b:Title>
    <b:Year>2018</b:Year>
    <b:Month>July</b:Month>
    <b:JournalName>LPEM-FEB UI Working Paper</b:JournalName>
    <b:Author>
      <b:Author>
        <b:NameList>
          <b:Person>
            <b:Last>Verico</b:Last>
            <b:First>Kiki</b:First>
          </b:Person>
          <b:Person>
            <b:Last>Natanael</b:Last>
            <b:First>Yeremia </b:First>
          </b:Person>
        </b:NameList>
      </b:Author>
    </b:Author>
    <b:PeriodicalTitle>LPEM-FEB UI Working Paper 023</b:PeriodicalTitle>
    <b:RefOrder>7</b:RefOrder>
  </b:Source>
  <b:Source>
    <b:Tag>Wig15</b:Tag>
    <b:SourceType>Report</b:SourceType>
    <b:Guid>{D19AF7FD-0DE9-4983-B557-DE5B1414028E}</b:Guid>
    <b:Title>Survey on the Utilisation of Free Trade Agreements in Indonesia</b:Title>
    <b:Year>2015</b:Year>
    <b:Publisher>Economic Research Institute for ASEAN and East Asia (ERIA)</b:Publisher>
    <b:City>Jakarta</b:City>
    <b:Author>
      <b:Author>
        <b:NameList>
          <b:Person>
            <b:Last>Wigjoseptina </b:Last>
            <b:First>Cita </b:First>
          </b:Person>
          <b:Person>
            <b:Last>Yunita </b:Last>
            <b:First>Lili</b:First>
          </b:Person>
          <b:Person>
            <b:Last>Sofiyandi</b:Last>
            <b:First>Yusuf</b:First>
          </b:Person>
        </b:NameList>
      </b:Author>
    </b:Author>
    <b:RefOrder>8</b:RefOrder>
  </b:Source>
  <b:Source>
    <b:Tag>Per</b:Tag>
    <b:SourceType>Misc</b:SourceType>
    <b:Guid>{C9056C54-F731-48F9-B948-63F6F9BBA951}</b:Guid>
    <b:Title>Peraturan Presiden Nomor 79 Tahun 2017 tentang Rencana Kerja Pemerintah Tahun 2018</b:Title>
    <b:RefOrder>9</b:RefOrder>
  </b:Source>
  <b:Source>
    <b:Tag>Kem211</b:Tag>
    <b:SourceType>InternetSite</b:SourceType>
    <b:Guid>{CCC2F06B-58F8-47B2-B28A-3BB8FF76E6AF}</b:Guid>
    <b:Author>
      <b:Author>
        <b:Corporate>Kemendag</b:Corporate>
      </b:Author>
    </b:Author>
    <b:Title>www.kemendag.go.id</b:Title>
    <b:InternetSiteTitle>Kemendag Dorong Pelaku UsahaManfaatkan FTA Centeruntuk Pacu Ekspor</b:InternetSiteTitle>
    <b:Year>2021</b:Year>
    <b:Month>November</b:Month>
    <b:Day>4</b:Day>
    <b:URL>https://www.kemendag.go.id/en/pers/kemendag-dorong-pelaku-usaha-manfaatkan-fta-center-untuk-pacu-ekspor</b:URL>
    <b:RefOrder>10</b:RefOrder>
  </b:Source>
</b:Sources>
</file>

<file path=customXml/itemProps1.xml><?xml version="1.0" encoding="utf-8"?>
<ds:datastoreItem xmlns:ds="http://schemas.openxmlformats.org/officeDocument/2006/customXml" ds:itemID="{B62550ED-6CC1-46DF-A27A-3395BA916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4948</Words>
  <Characters>28204</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Malek</dc:creator>
  <cp:lastModifiedBy>Ahannah Laviza</cp:lastModifiedBy>
  <cp:revision>2</cp:revision>
  <cp:lastPrinted>2014-10-31T14:16:00Z</cp:lastPrinted>
  <dcterms:created xsi:type="dcterms:W3CDTF">2022-12-01T07:30:00Z</dcterms:created>
  <dcterms:modified xsi:type="dcterms:W3CDTF">2022-12-01T07:30:00Z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2347b5c6-f82b-3388-a19f-e71713defa0f</vt:lpwstr>
  </property>
  <property fmtid="{D5CDD505-2E9C-101B-9397-08002B2CF9AE}" pid="4" name="Mendeley Citation Style_1">
    <vt:lpwstr>http://www.zotero.org/styles/apa</vt:lpwstr>
  </property>
</Properties>
</file>